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660D" w14:textId="77777777" w:rsidR="00711ADF" w:rsidRDefault="00711ADF">
      <w:pPr>
        <w:spacing w:line="360" w:lineRule="auto"/>
        <w:jc w:val="center"/>
        <w:rPr>
          <w:b/>
          <w:bCs/>
          <w:sz w:val="28"/>
          <w:szCs w:val="28"/>
        </w:rPr>
      </w:pPr>
    </w:p>
    <w:p w14:paraId="0E53CC2E" w14:textId="77777777" w:rsidR="00711ADF" w:rsidRPr="00504F73" w:rsidRDefault="00000000">
      <w:pPr>
        <w:spacing w:line="360" w:lineRule="auto"/>
        <w:jc w:val="center"/>
        <w:rPr>
          <w:b/>
          <w:bCs/>
          <w:sz w:val="28"/>
          <w:szCs w:val="28"/>
        </w:rPr>
      </w:pPr>
      <w:r w:rsidRPr="00504F73">
        <w:rPr>
          <w:rFonts w:hint="eastAsia"/>
          <w:b/>
          <w:bCs/>
          <w:sz w:val="28"/>
          <w:szCs w:val="28"/>
        </w:rPr>
        <w:t>医院感染实时监控系统维护服务内容</w:t>
      </w:r>
    </w:p>
    <w:tbl>
      <w:tblPr>
        <w:tblW w:w="86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1584"/>
        <w:gridCol w:w="6016"/>
      </w:tblGrid>
      <w:tr w:rsidR="00711ADF" w:rsidRPr="00504F73" w14:paraId="3118276A" w14:textId="77777777">
        <w:trPr>
          <w:trHeight w:val="400"/>
        </w:trPr>
        <w:tc>
          <w:tcPr>
            <w:tcW w:w="1024" w:type="dxa"/>
            <w:vAlign w:val="center"/>
          </w:tcPr>
          <w:p w14:paraId="3FCCB0D1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504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  号</w:t>
            </w:r>
          </w:p>
        </w:tc>
        <w:tc>
          <w:tcPr>
            <w:tcW w:w="1584" w:type="dxa"/>
            <w:vAlign w:val="center"/>
          </w:tcPr>
          <w:p w14:paraId="2AA80CEE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04F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服务内容</w:t>
            </w:r>
          </w:p>
        </w:tc>
        <w:tc>
          <w:tcPr>
            <w:tcW w:w="6016" w:type="dxa"/>
            <w:vAlign w:val="center"/>
          </w:tcPr>
          <w:p w14:paraId="0C04D97C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04F7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具体内容</w:t>
            </w:r>
          </w:p>
        </w:tc>
      </w:tr>
      <w:tr w:rsidR="00711ADF" w:rsidRPr="00504F73" w14:paraId="2D62874A" w14:textId="77777777">
        <w:trPr>
          <w:trHeight w:val="1820"/>
        </w:trPr>
        <w:tc>
          <w:tcPr>
            <w:tcW w:w="1024" w:type="dxa"/>
            <w:vAlign w:val="center"/>
          </w:tcPr>
          <w:p w14:paraId="06ACDE49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4F7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84" w:type="dxa"/>
            <w:vAlign w:val="center"/>
          </w:tcPr>
          <w:p w14:paraId="30D842A7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院感监测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管理流程方案提供</w:t>
            </w:r>
          </w:p>
        </w:tc>
        <w:tc>
          <w:tcPr>
            <w:tcW w:w="6016" w:type="dxa"/>
            <w:vAlign w:val="center"/>
          </w:tcPr>
          <w:p w14:paraId="7381D9FB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提供满足当前区域监测要求的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优质院感监测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工作开展方案。包括但不限于：</w:t>
            </w:r>
          </w:p>
          <w:p w14:paraId="57945FCD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1、满足区域监测要求的日常病例监测管理方案；</w:t>
            </w:r>
          </w:p>
          <w:p w14:paraId="722C31C8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2、满足区域监测要求的抗菌药物治疗前病原学送检工作的管理方案；</w:t>
            </w:r>
          </w:p>
          <w:p w14:paraId="1076C615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3、满足区域监测要求的落实多重耐药菌隔离防控措施的管理方案。</w:t>
            </w:r>
          </w:p>
          <w:p w14:paraId="247EBE98" w14:textId="59BB41E4" w:rsidR="00980061" w:rsidRPr="00504F73" w:rsidRDefault="0098006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4、</w:t>
            </w: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满足区域监测要求的</w:t>
            </w: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环境物表监测</w:t>
            </w: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的管理方案。</w:t>
            </w:r>
          </w:p>
        </w:tc>
      </w:tr>
      <w:tr w:rsidR="00711ADF" w:rsidRPr="00504F73" w14:paraId="269E4739" w14:textId="77777777">
        <w:trPr>
          <w:trHeight w:val="1900"/>
        </w:trPr>
        <w:tc>
          <w:tcPr>
            <w:tcW w:w="1024" w:type="dxa"/>
            <w:vAlign w:val="center"/>
          </w:tcPr>
          <w:p w14:paraId="37ECF2F5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4F7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84" w:type="dxa"/>
            <w:vAlign w:val="center"/>
          </w:tcPr>
          <w:p w14:paraId="18316903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系统升级</w:t>
            </w:r>
          </w:p>
        </w:tc>
        <w:tc>
          <w:tcPr>
            <w:tcW w:w="6016" w:type="dxa"/>
            <w:vAlign w:val="center"/>
          </w:tcPr>
          <w:p w14:paraId="3A9660EC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安排工程师为医院进行系统升级，提供各项升级后的服务内容： </w:t>
            </w:r>
          </w:p>
          <w:p w14:paraId="3611067E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 1、提供契合于国家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最新院感监测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规范的各类功能模块，如：配合《关于印 发“提高住院患者抗菌药物治疗前病原学送检率”专项行动指导意见的函》 开展医院感染诊断相关病原学送检率、联用使用重点药物前病原学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送检率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等；</w:t>
            </w:r>
          </w:p>
          <w:p w14:paraId="4632D18F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2、优化系统现有功能并提高稳定性。</w:t>
            </w:r>
          </w:p>
        </w:tc>
      </w:tr>
      <w:tr w:rsidR="00711ADF" w:rsidRPr="00504F73" w14:paraId="6D9339BA" w14:textId="77777777">
        <w:trPr>
          <w:trHeight w:val="2160"/>
        </w:trPr>
        <w:tc>
          <w:tcPr>
            <w:tcW w:w="1024" w:type="dxa"/>
            <w:vAlign w:val="center"/>
          </w:tcPr>
          <w:p w14:paraId="211F1B3E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4F7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84" w:type="dxa"/>
            <w:vAlign w:val="center"/>
          </w:tcPr>
          <w:p w14:paraId="4164E294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现场服务</w:t>
            </w:r>
          </w:p>
        </w:tc>
        <w:tc>
          <w:tcPr>
            <w:tcW w:w="6016" w:type="dxa"/>
            <w:vAlign w:val="center"/>
          </w:tcPr>
          <w:p w14:paraId="5655256D" w14:textId="669E4A7D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安排工程师进行现场服务，为</w:t>
            </w:r>
            <w:r w:rsidR="00DA3B41"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医院感染管理办公室</w:t>
            </w: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提供以下服务内容：       </w:t>
            </w:r>
          </w:p>
          <w:p w14:paraId="1B89A263" w14:textId="4E4399A2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1、调查医院各项工作目前业务流程以及存在问题，协助</w:t>
            </w:r>
            <w:r w:rsidR="00DA3B41"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医院感染管理办公室</w:t>
            </w: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利用系统开展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各项院感监测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工作并提出专业化改进建议；</w:t>
            </w:r>
          </w:p>
          <w:p w14:paraId="0A277700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2、完成数据准确性核查，确保系统稳定；</w:t>
            </w:r>
          </w:p>
          <w:p w14:paraId="270CF5F8" w14:textId="7BA0022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3、完成</w:t>
            </w:r>
            <w:r w:rsidR="00DA3B41"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医院感染管理办公室</w:t>
            </w: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专职人员培训，保证专职人员能通过系统高效开展工作；</w:t>
            </w:r>
          </w:p>
          <w:p w14:paraId="3745030F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4、完成临床医生培训，保证临床医生通过系统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上报院感病例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711ADF" w:rsidRPr="00504F73" w14:paraId="33A115CA" w14:textId="77777777">
        <w:trPr>
          <w:trHeight w:val="2080"/>
        </w:trPr>
        <w:tc>
          <w:tcPr>
            <w:tcW w:w="1024" w:type="dxa"/>
            <w:vAlign w:val="center"/>
          </w:tcPr>
          <w:p w14:paraId="441A8842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4F7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84" w:type="dxa"/>
            <w:vAlign w:val="center"/>
          </w:tcPr>
          <w:p w14:paraId="48EA3733" w14:textId="69D7F2AE" w:rsidR="00711ADF" w:rsidRPr="00504F7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新进人员一对一专人培训</w:t>
            </w:r>
          </w:p>
        </w:tc>
        <w:tc>
          <w:tcPr>
            <w:tcW w:w="6016" w:type="dxa"/>
            <w:vAlign w:val="center"/>
          </w:tcPr>
          <w:p w14:paraId="5C547698" w14:textId="1C85DEC5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提供对相关新进人员进行理论学习和操作培训，帮助新进人员快速上岗，服务内容包括但不限于：</w:t>
            </w:r>
          </w:p>
          <w:p w14:paraId="2F56819B" w14:textId="6AE8D1CF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1、讲解各项系统功能，确保</w:t>
            </w:r>
            <w:r w:rsidR="00DA3B41"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医院感染管理办公室</w:t>
            </w: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快速掌握；</w:t>
            </w:r>
          </w:p>
          <w:p w14:paraId="24B6EFBA" w14:textId="4ED11E01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2、讲解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各项院感监测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业务，涵盖业务背景、监测难点、常见</w:t>
            </w:r>
            <w:r w:rsidR="0003024B"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问</w:t>
            </w: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题；      </w:t>
            </w:r>
          </w:p>
          <w:p w14:paraId="191772F0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3、基于各项业务的监测难点和常见问题，结合区域内监测方向和要求，提供专业化改进方案。</w:t>
            </w:r>
          </w:p>
        </w:tc>
      </w:tr>
      <w:tr w:rsidR="00711ADF" w:rsidRPr="00504F73" w14:paraId="53D33219" w14:textId="77777777">
        <w:trPr>
          <w:trHeight w:val="920"/>
        </w:trPr>
        <w:tc>
          <w:tcPr>
            <w:tcW w:w="1024" w:type="dxa"/>
            <w:vAlign w:val="center"/>
          </w:tcPr>
          <w:p w14:paraId="45CDAD7D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4F7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84" w:type="dxa"/>
            <w:vAlign w:val="center"/>
          </w:tcPr>
          <w:p w14:paraId="7E857CB5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培训系统维护人员</w:t>
            </w:r>
          </w:p>
        </w:tc>
        <w:tc>
          <w:tcPr>
            <w:tcW w:w="6016" w:type="dxa"/>
            <w:vAlign w:val="center"/>
          </w:tcPr>
          <w:p w14:paraId="620E25F6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安排人员对医院感染实时监控系统维护人员进行培训，保证能够进行日常的运行维护、系统重启、新建用户等。</w:t>
            </w:r>
          </w:p>
        </w:tc>
      </w:tr>
      <w:tr w:rsidR="00711ADF" w:rsidRPr="00504F73" w14:paraId="025919D0" w14:textId="77777777">
        <w:trPr>
          <w:trHeight w:val="1940"/>
        </w:trPr>
        <w:tc>
          <w:tcPr>
            <w:tcW w:w="1024" w:type="dxa"/>
            <w:vAlign w:val="center"/>
          </w:tcPr>
          <w:p w14:paraId="6835B9DA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4F7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6</w:t>
            </w:r>
          </w:p>
        </w:tc>
        <w:tc>
          <w:tcPr>
            <w:tcW w:w="1584" w:type="dxa"/>
            <w:vAlign w:val="center"/>
          </w:tcPr>
          <w:p w14:paraId="7027D90D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临床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感控医生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/护士定期培训</w:t>
            </w:r>
          </w:p>
        </w:tc>
        <w:tc>
          <w:tcPr>
            <w:tcW w:w="6016" w:type="dxa"/>
            <w:vAlign w:val="center"/>
          </w:tcPr>
          <w:p w14:paraId="43BEC767" w14:textId="4EB9E86C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根据国家政策中对临床各科室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建立感控专职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医生/护士的要求，提供对临床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感控医生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/护士的针对性培训，为临床感染防护提供坚实保障，服务内容包括但不限于：</w:t>
            </w:r>
          </w:p>
          <w:p w14:paraId="08F481AE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1、讲解各项系统功能，确保临床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感控医生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/护士快速掌握；              </w:t>
            </w:r>
          </w:p>
          <w:p w14:paraId="271F99B9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2、讲解临床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各项院感监测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业务，涵盖业务背景、监测难点、常见问题，并提供专业化解决方案，为临床医护人员的日常工作带来便捷。</w:t>
            </w:r>
          </w:p>
        </w:tc>
      </w:tr>
      <w:tr w:rsidR="00711ADF" w:rsidRPr="00504F73" w14:paraId="3B086BFC" w14:textId="77777777">
        <w:trPr>
          <w:trHeight w:val="2400"/>
        </w:trPr>
        <w:tc>
          <w:tcPr>
            <w:tcW w:w="1024" w:type="dxa"/>
            <w:vAlign w:val="center"/>
          </w:tcPr>
          <w:p w14:paraId="2F3FFE9B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4F7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84" w:type="dxa"/>
            <w:vAlign w:val="center"/>
          </w:tcPr>
          <w:p w14:paraId="45174312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院感知识题库</w:t>
            </w:r>
          </w:p>
        </w:tc>
        <w:tc>
          <w:tcPr>
            <w:tcW w:w="6016" w:type="dxa"/>
            <w:vAlign w:val="center"/>
          </w:tcPr>
          <w:p w14:paraId="2874F450" w14:textId="42256B71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提供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感控相关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模块的考核试题，以期提高相关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人员院感监测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知识水平，帮助</w:t>
            </w:r>
            <w:r w:rsidR="00DA3B41"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医院感染管理办公室</w:t>
            </w: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做好临床医护人员的培训工作，试题包括：</w:t>
            </w:r>
          </w:p>
          <w:p w14:paraId="29CD74AF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1、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手卫生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相关知识试题；</w:t>
            </w:r>
          </w:p>
          <w:p w14:paraId="4A022C53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2、环境监测工作相关知识试题；</w:t>
            </w:r>
          </w:p>
          <w:p w14:paraId="506B4252" w14:textId="0769371D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3、MDR规范防控相关知识试题；</w:t>
            </w:r>
          </w:p>
          <w:p w14:paraId="3DDC1948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4、感染诊断标准相关知识试题；</w:t>
            </w:r>
          </w:p>
          <w:p w14:paraId="3FC2C2A9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5、医院感染相关知识试题；</w:t>
            </w:r>
          </w:p>
          <w:p w14:paraId="2DB2AFA1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6、三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管相关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感染预防控制措施知识试题。</w:t>
            </w:r>
          </w:p>
        </w:tc>
      </w:tr>
      <w:tr w:rsidR="00711ADF" w:rsidRPr="00504F73" w14:paraId="55662E67" w14:textId="77777777">
        <w:trPr>
          <w:trHeight w:val="1180"/>
        </w:trPr>
        <w:tc>
          <w:tcPr>
            <w:tcW w:w="1024" w:type="dxa"/>
            <w:vAlign w:val="center"/>
          </w:tcPr>
          <w:p w14:paraId="4D237ABD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4F7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584" w:type="dxa"/>
            <w:vAlign w:val="center"/>
          </w:tcPr>
          <w:p w14:paraId="6528767B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远程服务</w:t>
            </w:r>
          </w:p>
        </w:tc>
        <w:tc>
          <w:tcPr>
            <w:tcW w:w="6016" w:type="dxa"/>
            <w:vAlign w:val="center"/>
          </w:tcPr>
          <w:p w14:paraId="5C563402" w14:textId="45A34C5E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在医院相关科室配合下通过向日葵、VPN 等远程工具进行服务，保证</w:t>
            </w:r>
            <w:r w:rsidR="00DA3B41"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医院感染管理办公室</w:t>
            </w: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反馈的问题能够及时完成处理。</w:t>
            </w:r>
          </w:p>
          <w:p w14:paraId="72161D12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提供周末及节假日专人值班服务，保证周末及节假日提供各项服务。</w:t>
            </w:r>
          </w:p>
        </w:tc>
      </w:tr>
      <w:tr w:rsidR="00711ADF" w:rsidRPr="00504F73" w14:paraId="023D8A0A" w14:textId="77777777">
        <w:trPr>
          <w:trHeight w:val="1160"/>
        </w:trPr>
        <w:tc>
          <w:tcPr>
            <w:tcW w:w="1024" w:type="dxa"/>
            <w:vAlign w:val="center"/>
          </w:tcPr>
          <w:p w14:paraId="4C0F10CA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4F7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584" w:type="dxa"/>
            <w:vAlign w:val="center"/>
          </w:tcPr>
          <w:p w14:paraId="7903FA62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系统使用咨询</w:t>
            </w:r>
          </w:p>
        </w:tc>
        <w:tc>
          <w:tcPr>
            <w:tcW w:w="6016" w:type="dxa"/>
            <w:vAlign w:val="center"/>
          </w:tcPr>
          <w:p w14:paraId="28A97C1C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安排专人回答医院专职人员各类咨询:</w:t>
            </w:r>
          </w:p>
          <w:p w14:paraId="090B176A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1、讲解系统功能应用，高效开展各项监测业务；</w:t>
            </w:r>
          </w:p>
          <w:p w14:paraId="098DFDCD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2、解读各类监测业务相关数据；</w:t>
            </w:r>
          </w:p>
          <w:p w14:paraId="274E4F1B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3、解读各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类院感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监测相关文件指标。</w:t>
            </w:r>
          </w:p>
        </w:tc>
      </w:tr>
      <w:tr w:rsidR="00711ADF" w:rsidRPr="00504F73" w14:paraId="39D1A096" w14:textId="77777777">
        <w:trPr>
          <w:trHeight w:val="1060"/>
        </w:trPr>
        <w:tc>
          <w:tcPr>
            <w:tcW w:w="1024" w:type="dxa"/>
            <w:vAlign w:val="center"/>
          </w:tcPr>
          <w:p w14:paraId="0DE56333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4F7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584" w:type="dxa"/>
            <w:vAlign w:val="center"/>
          </w:tcPr>
          <w:p w14:paraId="341B4C89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NIS 服务器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宕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机修复</w:t>
            </w:r>
          </w:p>
        </w:tc>
        <w:tc>
          <w:tcPr>
            <w:tcW w:w="6016" w:type="dxa"/>
            <w:vAlign w:val="center"/>
          </w:tcPr>
          <w:p w14:paraId="1653E64F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安排工程师在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院感服务器宕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机时进行修复：</w:t>
            </w:r>
          </w:p>
          <w:p w14:paraId="2BB72391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1、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修复院感服务器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</w:p>
          <w:p w14:paraId="2BDC345D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2、完成数据恢复及更新，确保系统使用正常。</w:t>
            </w:r>
          </w:p>
        </w:tc>
      </w:tr>
      <w:tr w:rsidR="00711ADF" w:rsidRPr="00504F73" w14:paraId="381042E9" w14:textId="77777777">
        <w:trPr>
          <w:trHeight w:val="1540"/>
        </w:trPr>
        <w:tc>
          <w:tcPr>
            <w:tcW w:w="1024" w:type="dxa"/>
            <w:vAlign w:val="center"/>
          </w:tcPr>
          <w:p w14:paraId="3A0A7B4D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4F7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584" w:type="dxa"/>
            <w:vAlign w:val="center"/>
          </w:tcPr>
          <w:p w14:paraId="3F290686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数据备份运行情况检查</w:t>
            </w:r>
          </w:p>
        </w:tc>
        <w:tc>
          <w:tcPr>
            <w:tcW w:w="6016" w:type="dxa"/>
            <w:vAlign w:val="center"/>
          </w:tcPr>
          <w:p w14:paraId="23EC1C72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安排工程师提供数据备份巡查服务：</w:t>
            </w:r>
          </w:p>
          <w:p w14:paraId="340C0C1E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1、每季度定期巡查服务器系统备份机制，确保其正常运行；</w:t>
            </w:r>
          </w:p>
          <w:p w14:paraId="4D39B869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2、基于医院要求制定个性化备份方案，确保数据安全；</w:t>
            </w:r>
          </w:p>
          <w:p w14:paraId="3A6461FF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3、提供专业化数据备份巡查报告，并基于报告内容给出专业化解决方案。</w:t>
            </w:r>
          </w:p>
        </w:tc>
      </w:tr>
      <w:tr w:rsidR="00711ADF" w:rsidRPr="00504F73" w14:paraId="1257A320" w14:textId="77777777">
        <w:trPr>
          <w:trHeight w:val="1360"/>
        </w:trPr>
        <w:tc>
          <w:tcPr>
            <w:tcW w:w="1024" w:type="dxa"/>
            <w:vAlign w:val="center"/>
          </w:tcPr>
          <w:p w14:paraId="62E3C53A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4F7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584" w:type="dxa"/>
            <w:vAlign w:val="center"/>
          </w:tcPr>
          <w:p w14:paraId="57122114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数据恢复及系统迁移</w:t>
            </w:r>
          </w:p>
        </w:tc>
        <w:tc>
          <w:tcPr>
            <w:tcW w:w="6016" w:type="dxa"/>
            <w:vAlign w:val="center"/>
          </w:tcPr>
          <w:p w14:paraId="6D8BE264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安排工程师提供系统数据恢复及系统迁移服务：               </w:t>
            </w:r>
          </w:p>
          <w:p w14:paraId="2A790646" w14:textId="030F4F4E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DA3B41"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根据医院实际拥有的最新备份数据，帮助医院进行数据恢复。 </w:t>
            </w:r>
          </w:p>
          <w:p w14:paraId="7FF26D4A" w14:textId="3737598E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DA3B41"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根据医院的要求将系统部署到新服务器中，并完成系统调试工作，确保使用正常。</w:t>
            </w:r>
          </w:p>
        </w:tc>
      </w:tr>
      <w:tr w:rsidR="00711ADF" w:rsidRPr="00504F73" w14:paraId="22F4994C" w14:textId="77777777">
        <w:trPr>
          <w:trHeight w:val="1520"/>
        </w:trPr>
        <w:tc>
          <w:tcPr>
            <w:tcW w:w="1024" w:type="dxa"/>
            <w:vAlign w:val="center"/>
          </w:tcPr>
          <w:p w14:paraId="4719C430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4F7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584" w:type="dxa"/>
            <w:vAlign w:val="center"/>
          </w:tcPr>
          <w:p w14:paraId="42883CCE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服务器远程巡检</w:t>
            </w:r>
          </w:p>
        </w:tc>
        <w:tc>
          <w:tcPr>
            <w:tcW w:w="6016" w:type="dxa"/>
            <w:vAlign w:val="center"/>
          </w:tcPr>
          <w:p w14:paraId="7F917CBB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安排工程师提供服务器巡查服务：                            1、每年定期对服务器运行环境进行巡检，巡检内容包括：服务器内存情况评估、硬盘情况评估、系统运行稳定性评估等；</w:t>
            </w:r>
          </w:p>
          <w:p w14:paraId="0B6B003B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2、提供专业化服务器巡查报告，并基于报告内容给出专业化解决方案。</w:t>
            </w:r>
          </w:p>
        </w:tc>
      </w:tr>
      <w:tr w:rsidR="00711ADF" w:rsidRPr="00504F73" w14:paraId="301EFCC5" w14:textId="77777777">
        <w:trPr>
          <w:trHeight w:val="1240"/>
        </w:trPr>
        <w:tc>
          <w:tcPr>
            <w:tcW w:w="1024" w:type="dxa"/>
            <w:vAlign w:val="center"/>
          </w:tcPr>
          <w:p w14:paraId="1CA9C57D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4F7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14</w:t>
            </w:r>
          </w:p>
        </w:tc>
        <w:tc>
          <w:tcPr>
            <w:tcW w:w="1584" w:type="dxa"/>
            <w:vAlign w:val="center"/>
          </w:tcPr>
          <w:p w14:paraId="380A0DD3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数据核查</w:t>
            </w:r>
          </w:p>
        </w:tc>
        <w:tc>
          <w:tcPr>
            <w:tcW w:w="6016" w:type="dxa"/>
            <w:vAlign w:val="center"/>
          </w:tcPr>
          <w:p w14:paraId="74C12114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安排工程师核查数据，根据医院信息化厂商提供数据质量校准方案，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为院感监测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工作提供准确的数据基础，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保障院感监测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工作的有效开展。</w:t>
            </w:r>
          </w:p>
        </w:tc>
      </w:tr>
      <w:tr w:rsidR="00711ADF" w:rsidRPr="00504F73" w14:paraId="5768E786" w14:textId="77777777">
        <w:trPr>
          <w:trHeight w:val="425"/>
        </w:trPr>
        <w:tc>
          <w:tcPr>
            <w:tcW w:w="1024" w:type="dxa"/>
            <w:vAlign w:val="center"/>
          </w:tcPr>
          <w:p w14:paraId="2FD3D8D3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4F7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584" w:type="dxa"/>
            <w:vAlign w:val="center"/>
          </w:tcPr>
          <w:p w14:paraId="6D31E686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区域监测数据上报</w:t>
            </w:r>
          </w:p>
        </w:tc>
        <w:tc>
          <w:tcPr>
            <w:tcW w:w="6016" w:type="dxa"/>
            <w:vAlign w:val="center"/>
          </w:tcPr>
          <w:p w14:paraId="2E6594A6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安排工程师提供数据上报服务，包括但不限于：</w:t>
            </w:r>
          </w:p>
          <w:p w14:paraId="0A04626D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1、协助医院完成NICC/NIRC数据上报；</w:t>
            </w:r>
          </w:p>
          <w:p w14:paraId="654092F6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2、协助医院完成抗菌药物治疗前病原学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送检专项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整改、哨点医院数据上报；</w:t>
            </w:r>
          </w:p>
          <w:p w14:paraId="7952DD60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3、协助医院完成现患率上报；</w:t>
            </w:r>
          </w:p>
          <w:p w14:paraId="4B328ABE" w14:textId="77777777" w:rsidR="00DA3B41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4、协助医院完成民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科数据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上报</w:t>
            </w:r>
            <w:r w:rsidR="00DA3B41"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</w:p>
          <w:p w14:paraId="7B03AF4C" w14:textId="38397CF0" w:rsidR="00711ADF" w:rsidRPr="00504F73" w:rsidRDefault="00DA3B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5、协助医院完成C</w:t>
            </w:r>
            <w:r w:rsidRPr="00504F73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  <w:t>MIISS</w:t>
            </w: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监测数据上报</w:t>
            </w:r>
            <w:r w:rsidR="00000000"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:rsidR="00711ADF" w:rsidRPr="00504F73" w14:paraId="3088474B" w14:textId="77777777">
        <w:trPr>
          <w:trHeight w:val="2260"/>
        </w:trPr>
        <w:tc>
          <w:tcPr>
            <w:tcW w:w="1024" w:type="dxa"/>
            <w:vAlign w:val="center"/>
          </w:tcPr>
          <w:p w14:paraId="6E86F5B0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4F7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504F7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84" w:type="dxa"/>
            <w:vAlign w:val="center"/>
          </w:tcPr>
          <w:p w14:paraId="4A8C645D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协助评审/检查</w:t>
            </w:r>
          </w:p>
        </w:tc>
        <w:tc>
          <w:tcPr>
            <w:tcW w:w="6016" w:type="dxa"/>
            <w:vAlign w:val="center"/>
          </w:tcPr>
          <w:p w14:paraId="06F30E58" w14:textId="6582E6AA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安排工程师配合</w:t>
            </w:r>
            <w:r w:rsidR="00DA3B41"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医院感染管理办公室</w:t>
            </w: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专职人员协助各项检查及评审工作，提供包括但不限于以下服务内容：</w:t>
            </w:r>
          </w:p>
          <w:p w14:paraId="3579EF2E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1、支持提供等级评审相关的各项监测规章制度；</w:t>
            </w:r>
          </w:p>
          <w:p w14:paraId="21D98DCE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2、支持提供各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类院感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评审相关的数据；</w:t>
            </w:r>
          </w:p>
          <w:p w14:paraId="3221E65D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3、支持提供各类评审相关报告资料的整理；</w:t>
            </w:r>
          </w:p>
          <w:p w14:paraId="598F3F0C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4、支持提供国家三级公立医院绩效考核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院感相关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指标的细化梳理及协助改良；</w:t>
            </w:r>
          </w:p>
          <w:p w14:paraId="11882F39" w14:textId="54A0A5A9" w:rsidR="00711ADF" w:rsidRPr="00504F73" w:rsidRDefault="00000000" w:rsidP="00DA3B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5、提供现场陪同评审服务，现场解答各类系统相关的评审问题。</w:t>
            </w:r>
          </w:p>
        </w:tc>
      </w:tr>
      <w:tr w:rsidR="00711ADF" w:rsidRPr="00504F73" w14:paraId="0E847F3C" w14:textId="77777777">
        <w:trPr>
          <w:trHeight w:val="2260"/>
        </w:trPr>
        <w:tc>
          <w:tcPr>
            <w:tcW w:w="1024" w:type="dxa"/>
            <w:vAlign w:val="center"/>
          </w:tcPr>
          <w:p w14:paraId="7723DAD0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504F7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584" w:type="dxa"/>
            <w:vAlign w:val="center"/>
          </w:tcPr>
          <w:p w14:paraId="358E6436" w14:textId="77777777" w:rsidR="00711ADF" w:rsidRPr="00504F7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区域监测报告反馈</w:t>
            </w:r>
          </w:p>
          <w:p w14:paraId="32A72ED4" w14:textId="77777777" w:rsidR="00711ADF" w:rsidRPr="00504F73" w:rsidRDefault="00711AD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16" w:type="dxa"/>
            <w:vAlign w:val="center"/>
          </w:tcPr>
          <w:p w14:paraId="1DAB8BC2" w14:textId="4D99C72B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安排工程师出具区域化数据分析报告，并反馈给医院。 </w:t>
            </w:r>
          </w:p>
          <w:p w14:paraId="591D61A6" w14:textId="77777777" w:rsidR="00711ADF" w:rsidRPr="00504F73" w:rsidRDefault="000000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针对以下可以进行 NICC 上报的区域： </w:t>
            </w:r>
          </w:p>
          <w:p w14:paraId="7EEE140F" w14:textId="73505685" w:rsidR="00711ADF" w:rsidRPr="00504F73" w:rsidRDefault="00000000" w:rsidP="006B5CDF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河北省、湖北省、内蒙古、宁夏、山东省、山西省、陕西省、云南省、浙江省、福建省、贵州省、新疆自治区、江苏省、广西壮族自治区、辽宁省、青海省、东莞市、深圳市</w:t>
            </w:r>
          </w:p>
        </w:tc>
      </w:tr>
      <w:tr w:rsidR="00EC3B41" w:rsidRPr="00504F73" w14:paraId="0F7E9338" w14:textId="77777777" w:rsidTr="0003024B">
        <w:trPr>
          <w:trHeight w:val="1102"/>
        </w:trPr>
        <w:tc>
          <w:tcPr>
            <w:tcW w:w="1024" w:type="dxa"/>
            <w:vAlign w:val="center"/>
          </w:tcPr>
          <w:p w14:paraId="706247E8" w14:textId="60472C02" w:rsidR="00EC3B41" w:rsidRPr="00504F73" w:rsidRDefault="00EC3B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504F7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504F7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584" w:type="dxa"/>
            <w:vAlign w:val="center"/>
          </w:tcPr>
          <w:p w14:paraId="056D781C" w14:textId="63D15C59" w:rsidR="00EC3B41" w:rsidRPr="00504F73" w:rsidRDefault="00276EF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《</w:t>
            </w:r>
            <w:r w:rsidR="00EC3B41"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院感通讯</w:t>
            </w: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》</w:t>
            </w:r>
            <w:r w:rsidR="00EC3B41"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报告</w:t>
            </w:r>
          </w:p>
        </w:tc>
        <w:tc>
          <w:tcPr>
            <w:tcW w:w="6016" w:type="dxa"/>
            <w:vAlign w:val="center"/>
          </w:tcPr>
          <w:p w14:paraId="53A58224" w14:textId="6C31E813" w:rsidR="00EC3B41" w:rsidRPr="00504F73" w:rsidRDefault="00EC3B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安排工程师</w:t>
            </w:r>
            <w:proofErr w:type="gramStart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提供院感通讯</w:t>
            </w:r>
            <w:proofErr w:type="gramEnd"/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服务，并按医院感染管理办公室</w:t>
            </w:r>
            <w:r w:rsidR="0003024B"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要求的内容、形式</w:t>
            </w:r>
            <w:r w:rsidR="00305F3E"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定期</w:t>
            </w:r>
            <w:r w:rsidR="0003024B"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出具</w:t>
            </w:r>
            <w:r w:rsidR="00276EFC"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《</w:t>
            </w:r>
            <w:r w:rsidR="00305F3E"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医院感染管理通讯</w:t>
            </w:r>
            <w:r w:rsidR="00276EFC"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》</w:t>
            </w:r>
            <w:r w:rsidR="0003024B"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报告。</w:t>
            </w:r>
          </w:p>
        </w:tc>
      </w:tr>
      <w:tr w:rsidR="00980061" w14:paraId="65AACA26" w14:textId="77777777" w:rsidTr="0003024B">
        <w:trPr>
          <w:trHeight w:val="1102"/>
        </w:trPr>
        <w:tc>
          <w:tcPr>
            <w:tcW w:w="1024" w:type="dxa"/>
            <w:vAlign w:val="center"/>
          </w:tcPr>
          <w:p w14:paraId="3735186B" w14:textId="54F1DFC1" w:rsidR="00980061" w:rsidRPr="00504F73" w:rsidRDefault="0098006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504F7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504F7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584" w:type="dxa"/>
            <w:vAlign w:val="center"/>
          </w:tcPr>
          <w:p w14:paraId="0AF6A14F" w14:textId="506CA8D3" w:rsidR="00980061" w:rsidRPr="00504F73" w:rsidRDefault="0098006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职业暴露管理服务</w:t>
            </w:r>
          </w:p>
        </w:tc>
        <w:tc>
          <w:tcPr>
            <w:tcW w:w="6016" w:type="dxa"/>
            <w:vAlign w:val="center"/>
          </w:tcPr>
          <w:p w14:paraId="3296FE69" w14:textId="72C748EC" w:rsidR="00980061" w:rsidRPr="00980061" w:rsidRDefault="00980061" w:rsidP="0098006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安排工程师</w:t>
            </w: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配合医院感染管理办公室专职人员</w:t>
            </w:r>
            <w:r w:rsidRPr="00504F7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开展临床/医技科室发生职业暴露的管理、追踪与数据统计。</w:t>
            </w:r>
          </w:p>
        </w:tc>
      </w:tr>
    </w:tbl>
    <w:p w14:paraId="34CA5845" w14:textId="77777777" w:rsidR="00711ADF" w:rsidRDefault="00711ADF">
      <w:pPr>
        <w:spacing w:line="360" w:lineRule="auto"/>
        <w:rPr>
          <w:rFonts w:asciiTheme="minorEastAsia" w:hAnsiTheme="minorEastAsia" w:cstheme="minorEastAsia" w:hint="eastAsia"/>
          <w:szCs w:val="21"/>
        </w:rPr>
      </w:pPr>
    </w:p>
    <w:sectPr w:rsidR="00711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04AFB"/>
    <w:multiLevelType w:val="hybridMultilevel"/>
    <w:tmpl w:val="6324CEBA"/>
    <w:lvl w:ilvl="0" w:tplc="B70AAC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6100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UyYWUyNDdlNjg1Y2MwNTlhOWE4YzBiODI2ZTZiZDIifQ=="/>
  </w:docVars>
  <w:rsids>
    <w:rsidRoot w:val="0A1936FE"/>
    <w:rsid w:val="0003024B"/>
    <w:rsid w:val="00276EFC"/>
    <w:rsid w:val="00305F3E"/>
    <w:rsid w:val="003A376F"/>
    <w:rsid w:val="00504F73"/>
    <w:rsid w:val="006B5CDF"/>
    <w:rsid w:val="00711ADF"/>
    <w:rsid w:val="00980061"/>
    <w:rsid w:val="00DA3B41"/>
    <w:rsid w:val="00EC3B41"/>
    <w:rsid w:val="046A1F77"/>
    <w:rsid w:val="050C34ED"/>
    <w:rsid w:val="0A1936FE"/>
    <w:rsid w:val="0A304DC1"/>
    <w:rsid w:val="0D2F3D2D"/>
    <w:rsid w:val="10013DA3"/>
    <w:rsid w:val="17806097"/>
    <w:rsid w:val="1A1118ED"/>
    <w:rsid w:val="2C2A343A"/>
    <w:rsid w:val="30AF0034"/>
    <w:rsid w:val="3B130CEA"/>
    <w:rsid w:val="3F61570A"/>
    <w:rsid w:val="3FBA0B4E"/>
    <w:rsid w:val="439C259C"/>
    <w:rsid w:val="44241882"/>
    <w:rsid w:val="466F3D72"/>
    <w:rsid w:val="48622868"/>
    <w:rsid w:val="495B0F80"/>
    <w:rsid w:val="4C1329E7"/>
    <w:rsid w:val="557153CC"/>
    <w:rsid w:val="57996C36"/>
    <w:rsid w:val="5D790F26"/>
    <w:rsid w:val="6A1036F4"/>
    <w:rsid w:val="6C0A7F60"/>
    <w:rsid w:val="6C1522EE"/>
    <w:rsid w:val="6CCC542B"/>
    <w:rsid w:val="6DBD7CF3"/>
    <w:rsid w:val="72875102"/>
    <w:rsid w:val="770D0181"/>
    <w:rsid w:val="7E4A29F3"/>
    <w:rsid w:val="7EF4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2A8A5"/>
  <w15:docId w15:val="{CD89377C-F40E-4F43-8C8D-F70C9646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9800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杏林商务</dc:creator>
  <cp:lastModifiedBy>mandi li</cp:lastModifiedBy>
  <cp:revision>7</cp:revision>
  <cp:lastPrinted>2019-08-13T06:53:00Z</cp:lastPrinted>
  <dcterms:created xsi:type="dcterms:W3CDTF">2024-01-25T06:46:00Z</dcterms:created>
  <dcterms:modified xsi:type="dcterms:W3CDTF">2024-01-25T09:39:00Z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D1A6C796F0094B86A5A9A8759DB9B75F_13</vt:lpwstr>
  </property>
</Properties>
</file>