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outlineLvl w:val="0"/>
        <w:rPr>
          <w:rFonts w:ascii="方正楷体_GBK" w:hAnsi="方正楷体_GBK" w:eastAsia="方正楷体_GBK" w:cs="方正楷体_GBK"/>
          <w:sz w:val="28"/>
          <w:szCs w:val="22"/>
        </w:rPr>
      </w:pPr>
      <w:bookmarkStart w:id="0" w:name="_Toc32495"/>
      <w:bookmarkStart w:id="1" w:name="_Toc32426"/>
      <w:r>
        <w:rPr>
          <w:rFonts w:hint="eastAsia" w:ascii="方正楷体_GBK" w:hAnsi="方正楷体_GBK" w:eastAsia="方正楷体_GBK" w:cs="方正楷体_GBK"/>
          <w:sz w:val="28"/>
          <w:szCs w:val="22"/>
        </w:rPr>
        <w:t xml:space="preserve">  </w:t>
      </w:r>
      <w:r>
        <w:rPr>
          <w:rFonts w:hint="eastAsia" w:ascii="方正楷体_GBK" w:hAnsi="方正楷体_GBK" w:eastAsia="方正楷体_GBK" w:cs="方正楷体_GBK"/>
          <w:sz w:val="28"/>
          <w:szCs w:val="22"/>
          <w:lang w:eastAsia="zh-CN"/>
        </w:rPr>
        <w:t>评审</w:t>
      </w:r>
      <w:r>
        <w:rPr>
          <w:rFonts w:ascii="方正楷体_GBK" w:hAnsi="方正楷体_GBK" w:eastAsia="方正楷体_GBK" w:cs="方正楷体_GBK"/>
          <w:sz w:val="28"/>
          <w:szCs w:val="22"/>
        </w:rPr>
        <w:t>方法（综合评分法）</w:t>
      </w:r>
      <w:bookmarkEnd w:id="0"/>
      <w:bookmarkEnd w:id="1"/>
    </w:p>
    <w:tbl>
      <w:tblPr>
        <w:tblStyle w:val="8"/>
        <w:tblW w:w="10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13"/>
        <w:gridCol w:w="1593"/>
        <w:gridCol w:w="2682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条款号</w:t>
            </w:r>
          </w:p>
        </w:tc>
        <w:tc>
          <w:tcPr>
            <w:tcW w:w="1013" w:type="dxa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评审程序</w:t>
            </w:r>
          </w:p>
        </w:tc>
        <w:tc>
          <w:tcPr>
            <w:tcW w:w="8181" w:type="dxa"/>
            <w:gridSpan w:val="3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评 审 内 容 及 标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3.1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符合性评审标准</w:t>
            </w:r>
          </w:p>
        </w:tc>
        <w:tc>
          <w:tcPr>
            <w:tcW w:w="8181" w:type="dxa"/>
            <w:gridSpan w:val="3"/>
            <w:vAlign w:val="center"/>
          </w:tcPr>
          <w:p>
            <w:pPr>
              <w:spacing w:before="100" w:beforeAutospacing="1" w:after="100" w:afterAutospacing="1" w:line="160" w:lineRule="atLeast"/>
              <w:jc w:val="left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  <w:lang w:eastAsia="zh-CN"/>
              </w:rPr>
              <w:t>响应人</w:t>
            </w: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存在下列情况之一的，</w:t>
            </w:r>
            <w:r>
              <w:rPr>
                <w:rFonts w:hint="eastAsia" w:ascii="华文楷体" w:hAnsi="华文楷体" w:eastAsia="华文楷体" w:cs="华文楷体"/>
                <w:b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无效：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4275" w:type="dxa"/>
            <w:gridSpan w:val="2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签署、盖章</w:t>
            </w:r>
          </w:p>
        </w:tc>
        <w:tc>
          <w:tcPr>
            <w:tcW w:w="3906" w:type="dxa"/>
            <w:vAlign w:val="center"/>
          </w:tcPr>
          <w:p>
            <w:pPr>
              <w:spacing w:before="100" w:beforeAutospacing="1" w:after="100" w:afterAutospacing="1" w:line="160" w:lineRule="atLeast"/>
              <w:jc w:val="lef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文件未按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采购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文件要求签署、盖章的；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4275" w:type="dxa"/>
            <w:gridSpan w:val="2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法定代表人身份证明书及法定代表人授权委托书</w:t>
            </w:r>
          </w:p>
        </w:tc>
        <w:tc>
          <w:tcPr>
            <w:tcW w:w="3906" w:type="dxa"/>
            <w:vAlign w:val="center"/>
          </w:tcPr>
          <w:p>
            <w:pPr>
              <w:spacing w:before="100" w:beforeAutospacing="1" w:after="100" w:afterAutospacing="1" w:line="160" w:lineRule="atLeast"/>
              <w:jc w:val="lef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文件未按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采购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文件要求签署、盖章的；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4275" w:type="dxa"/>
            <w:gridSpan w:val="2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报价</w:t>
            </w:r>
          </w:p>
        </w:tc>
        <w:tc>
          <w:tcPr>
            <w:tcW w:w="3906" w:type="dxa"/>
            <w:vAlign w:val="center"/>
          </w:tcPr>
          <w:p>
            <w:pPr>
              <w:spacing w:before="100" w:beforeAutospacing="1" w:after="100" w:afterAutospacing="1" w:line="160" w:lineRule="atLeast"/>
              <w:jc w:val="lef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报价超过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采购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文件中规定的最高限价的；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4275" w:type="dxa"/>
            <w:gridSpan w:val="2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不能接受的附加条件</w:t>
            </w:r>
          </w:p>
        </w:tc>
        <w:tc>
          <w:tcPr>
            <w:tcW w:w="3906" w:type="dxa"/>
            <w:vAlign w:val="center"/>
          </w:tcPr>
          <w:p>
            <w:pPr>
              <w:spacing w:before="100" w:beforeAutospacing="1" w:after="100" w:afterAutospacing="1" w:line="160" w:lineRule="atLeast"/>
              <w:jc w:val="lef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文件含有采购人不能接受的附加条件的;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4275" w:type="dxa"/>
            <w:gridSpan w:val="2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其他无效情形</w:t>
            </w:r>
          </w:p>
        </w:tc>
        <w:tc>
          <w:tcPr>
            <w:tcW w:w="3906" w:type="dxa"/>
            <w:vAlign w:val="center"/>
          </w:tcPr>
          <w:p>
            <w:pPr>
              <w:spacing w:before="100" w:beforeAutospacing="1" w:after="100" w:afterAutospacing="1" w:line="160" w:lineRule="atLeast"/>
              <w:jc w:val="lef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法律、法规和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采购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文件规定的其他无效情形。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条款号</w:t>
            </w:r>
          </w:p>
        </w:tc>
        <w:tc>
          <w:tcPr>
            <w:tcW w:w="1013" w:type="dxa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评审程序</w:t>
            </w:r>
          </w:p>
        </w:tc>
        <w:tc>
          <w:tcPr>
            <w:tcW w:w="8181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评 审 内 容 及 标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3.2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详细评审标准</w:t>
            </w:r>
          </w:p>
        </w:tc>
        <w:tc>
          <w:tcPr>
            <w:tcW w:w="1593" w:type="dxa"/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1、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评审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总得分计算公式</w:t>
            </w:r>
          </w:p>
        </w:tc>
        <w:tc>
          <w:tcPr>
            <w:tcW w:w="6588" w:type="dxa"/>
            <w:gridSpan w:val="2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响应人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的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评审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总得分＝F1＋F2＋F3</w:t>
            </w:r>
          </w:p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其中：①F1、F2、F3分别为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报价、技术部分、商务部分3项评分因素的汇总得分；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2、评分因素</w:t>
            </w:r>
          </w:p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分值及权重</w:t>
            </w:r>
          </w:p>
        </w:tc>
        <w:tc>
          <w:tcPr>
            <w:tcW w:w="6588" w:type="dxa"/>
            <w:gridSpan w:val="2"/>
            <w:vAlign w:val="center"/>
          </w:tcPr>
          <w:p>
            <w:pPr>
              <w:spacing w:line="240" w:lineRule="atLeast"/>
              <w:ind w:left="1258" w:hanging="1258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报价F1：满分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50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分。技术部分F2：满分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30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分。</w:t>
            </w:r>
          </w:p>
          <w:p>
            <w:pPr>
              <w:spacing w:line="240" w:lineRule="atLeast"/>
              <w:ind w:left="1258" w:hanging="1258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商务部分F3：满分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59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3、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报价</w:t>
            </w:r>
          </w:p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评审F1</w:t>
            </w:r>
          </w:p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（满分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5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0分）</w:t>
            </w:r>
          </w:p>
        </w:tc>
        <w:tc>
          <w:tcPr>
            <w:tcW w:w="65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 xml:space="preserve">报价计算公式= </w:t>
            </w:r>
            <w:r>
              <w:rPr>
                <w:rFonts w:hint="eastAsia" w:ascii="华文楷体" w:hAnsi="华文楷体" w:eastAsia="华文楷体" w:cs="华文楷体"/>
                <w:position w:val="-26"/>
                <w:szCs w:val="21"/>
              </w:rPr>
              <w:object>
                <v:shape id="_x0000_i1025" o:spt="75" type="#_x0000_t75" style="height:36pt;width:77.6pt;" o:ole="t" filled="f" o:preferrelative="t" stroked="f" coordsize="21600,21600">
                  <v:path/>
                  <v:fill on="f" focussize="0,0"/>
                  <v:stroke on="f" joinstyle="miter"/>
                  <v:imagedata r:id="rId5" o:title="341228446826312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华文楷体" w:hAnsi="华文楷体" w:eastAsia="华文楷体" w:cs="华文楷体"/>
                <w:szCs w:val="21"/>
              </w:rPr>
              <w:t>×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5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0</w:t>
            </w:r>
          </w:p>
          <w:p>
            <w:pPr>
              <w:adjustRightInd w:val="0"/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即：F1=[C/（B1，B2，…，Bn）]×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5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0</w:t>
            </w:r>
          </w:p>
          <w:p>
            <w:pPr>
              <w:adjustRightInd w:val="0"/>
              <w:spacing w:line="240" w:lineRule="atLeas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注：C为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评审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基准价，即经初步审查合格且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价格最低的有效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平均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报价；B1，B2，…，Bn为第n个经初步审查合格的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平均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报价</w:t>
            </w:r>
            <w:r>
              <w:rPr>
                <w:rFonts w:hint="eastAsia" w:ascii="华文楷体" w:hAnsi="华文楷体" w:eastAsia="华文楷体" w:cs="华文楷体"/>
                <w:szCs w:val="21"/>
                <w:vertAlign w:val="baseline"/>
                <w:lang w:val="en-US" w:eastAsia="zh-CN"/>
              </w:rPr>
              <w:t>。采购文件中未说明且品规型号多的，评审专家组依据价格、使用量、临床应用情况指定代表品及其权重，代表品数量可以为一种或多种。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3.3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详细评审标准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4、技术部分</w:t>
            </w:r>
          </w:p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评审F2</w:t>
            </w:r>
          </w:p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（满分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0分）</w:t>
            </w:r>
          </w:p>
        </w:tc>
        <w:tc>
          <w:tcPr>
            <w:tcW w:w="6588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技术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样品评审(满分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val="en-US" w:eastAsia="zh-CN"/>
              </w:rPr>
              <w:t>30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分)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第一档次：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 xml:space="preserve">样品规格提供齐全、外观完好、质量优越、材质精良、设计精致、标识完整，得 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21-30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 xml:space="preserve"> 分；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第二档次：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 xml:space="preserve">样品规格提供基本齐全、外观普通、质量材质粗糙、样品外观无明显瑕疵或变形、设计正常，得 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11-20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 xml:space="preserve"> 分；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第三档次：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外观粗糙、设计粗劣，材质粗糙、样品外观存在瑕疵或变形，得 0-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 xml:space="preserve"> 分。</w:t>
            </w:r>
          </w:p>
          <w:p>
            <w:pPr>
              <w:snapToGrid w:val="0"/>
              <w:spacing w:line="240" w:lineRule="atLeast"/>
              <w:jc w:val="lef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eastAsia="zh-CN"/>
              </w:rPr>
              <w:t>若无法比较样品，由评审小组综合评定打分。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5、商务部分</w:t>
            </w:r>
          </w:p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评审F3</w:t>
            </w:r>
          </w:p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（满分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0分）</w:t>
            </w:r>
          </w:p>
        </w:tc>
        <w:tc>
          <w:tcPr>
            <w:tcW w:w="6588" w:type="dxa"/>
            <w:gridSpan w:val="2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1.耗材供应保障情况评分（满分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分）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第一档次：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耗材供应保障能力较强，供货响应迅速，响应人对采购人配合度较高，响应人有充足的备货量，有完善的备货预警机制，有可行的紧急调货预案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得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4-5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分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第二档次：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耗材供应保障能力一般，供货及时，响应人对采购人配合度一般，有一定数量的备货；有备货预警机制，但该机制不完善；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有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紧急调货预案，但该预案可行性不足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得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2-3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分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第三档次：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耗材供应保障能力较弱，不能满足采购人需求，响应人对采购人配合度较低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得0-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1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分。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2.售后服务（满分5分）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提供完善的售后服务方案，至少包括性能验证、投诉处理、不良事件处理、售后服务流程、响应/处理时间、负责人及负责人电话、质量监管及处罚等。方案合理、操作性强，且切实可行。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第一档次：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售后服务方案全面、合理可行，方案安排科学合理、可操作性强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得4-5分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；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第二档次：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售后服务方案可行，方案安排可行，有一定的针对性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得2-3分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；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第三档次：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售后服务方案有明显瑕疵，方案安排有瑕疵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得0-1分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。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3.类似产品销售业绩（满分5分）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近三年（20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21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年至今）类似产品销售业绩（供货凭证、中标通知、合同等）注：业绩的有效时间以证明文件的时间为准，提供一项得1分，增加一项，加1分，加满为止。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.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eastAsia="zh-CN"/>
              </w:rPr>
              <w:t>厂家授权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val="en-US" w:eastAsia="zh-CN"/>
              </w:rPr>
              <w:t>情况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（满分5分）</w:t>
            </w:r>
          </w:p>
          <w:p>
            <w:pPr>
              <w:snapToGrid w:val="0"/>
              <w:spacing w:line="240" w:lineRule="atLeast"/>
              <w:jc w:val="left"/>
              <w:rPr>
                <w:rFonts w:hint="default" w:ascii="华文楷体" w:hAnsi="华文楷体" w:eastAsia="华文楷体" w:cs="华文楷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厂家直供，得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5分；一级授权，得4分；二级授权，得3分；三级及其他授权，得1分；无授权，得0分。</w:t>
            </w:r>
          </w:p>
        </w:tc>
      </w:tr>
    </w:tbl>
    <w:p>
      <w:pPr>
        <w:pStyle w:val="3"/>
        <w:outlineLvl w:val="1"/>
        <w:rPr>
          <w:rFonts w:ascii="华文楷体" w:hAnsi="华文楷体" w:eastAsia="华文楷体" w:cs="华文楷体"/>
          <w:sz w:val="24"/>
        </w:rPr>
      </w:pPr>
      <w:bookmarkStart w:id="2" w:name="_Toc16081"/>
      <w:bookmarkStart w:id="3" w:name="_Toc16028"/>
      <w:r>
        <w:rPr>
          <w:rFonts w:hint="eastAsia" w:ascii="华文楷体" w:hAnsi="华文楷体" w:eastAsia="华文楷体" w:cs="华文楷体"/>
          <w:sz w:val="24"/>
        </w:rPr>
        <w:t>一、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hint="eastAsia" w:ascii="华文楷体" w:hAnsi="华文楷体" w:eastAsia="华文楷体" w:cs="华文楷体"/>
          <w:sz w:val="24"/>
        </w:rPr>
        <w:t>方法</w:t>
      </w:r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华文楷体" w:hAnsi="华文楷体" w:eastAsia="华文楷体" w:cs="华文楷体"/>
          <w:b w:val="0"/>
          <w:bCs w:val="0"/>
          <w:sz w:val="24"/>
        </w:rPr>
      </w:pP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b w:val="0"/>
          <w:bCs w:val="0"/>
          <w:sz w:val="24"/>
        </w:rPr>
        <w:t>对满足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采购</w:t>
      </w:r>
      <w:r>
        <w:rPr>
          <w:rFonts w:ascii="华文楷体" w:hAnsi="华文楷体" w:eastAsia="华文楷体" w:cs="华文楷体"/>
          <w:b w:val="0"/>
          <w:bCs w:val="0"/>
          <w:sz w:val="24"/>
        </w:rPr>
        <w:t>文件全部实质性要求（即通过资格性评审及符合性评审）的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b w:val="0"/>
          <w:bCs w:val="0"/>
          <w:sz w:val="24"/>
        </w:rPr>
        <w:t>文件，按照本章前附表规定的评分标准进行打分，并按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b w:val="0"/>
          <w:bCs w:val="0"/>
          <w:sz w:val="24"/>
        </w:rPr>
        <w:t>总得分计算公式计算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b w:val="0"/>
          <w:bCs w:val="0"/>
          <w:sz w:val="24"/>
        </w:rPr>
        <w:t>总得分</w:t>
      </w:r>
      <w:r>
        <w:rPr>
          <w:rFonts w:hint="eastAsia" w:ascii="华文楷体" w:hAnsi="华文楷体" w:eastAsia="华文楷体" w:cs="华文楷体"/>
          <w:b w:val="0"/>
          <w:bCs w:val="0"/>
          <w:sz w:val="24"/>
        </w:rPr>
        <w:t>。</w:t>
      </w:r>
    </w:p>
    <w:p>
      <w:pPr>
        <w:pStyle w:val="3"/>
        <w:outlineLvl w:val="1"/>
        <w:rPr>
          <w:rFonts w:ascii="华文楷体" w:hAnsi="华文楷体" w:eastAsia="华文楷体" w:cs="华文楷体"/>
          <w:sz w:val="24"/>
        </w:rPr>
      </w:pPr>
      <w:bookmarkStart w:id="4" w:name="_Toc14948"/>
      <w:bookmarkStart w:id="5" w:name="_Toc28122"/>
      <w:r>
        <w:rPr>
          <w:rFonts w:hint="eastAsia" w:ascii="华文楷体" w:hAnsi="华文楷体" w:eastAsia="华文楷体" w:cs="华文楷体"/>
          <w:sz w:val="24"/>
        </w:rPr>
        <w:t>二、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程序及标准</w:t>
      </w:r>
      <w:bookmarkEnd w:id="4"/>
      <w:bookmarkEnd w:id="5"/>
    </w:p>
    <w:p>
      <w:pPr>
        <w:spacing w:line="360" w:lineRule="auto"/>
        <w:outlineLvl w:val="2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1符合性评审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依据</w:t>
      </w:r>
      <w:r>
        <w:rPr>
          <w:rFonts w:hint="eastAsia" w:ascii="华文楷体" w:hAnsi="华文楷体" w:eastAsia="华文楷体" w:cs="华文楷体"/>
          <w:sz w:val="24"/>
          <w:lang w:eastAsia="zh-CN"/>
        </w:rPr>
        <w:t>采购</w:t>
      </w:r>
      <w:r>
        <w:rPr>
          <w:rFonts w:ascii="华文楷体" w:hAnsi="华文楷体" w:eastAsia="华文楷体" w:cs="华文楷体"/>
          <w:sz w:val="24"/>
        </w:rPr>
        <w:t>文件的规定，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对符合资格的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的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文件从有效性、完整性和对</w:t>
      </w:r>
      <w:r>
        <w:rPr>
          <w:rFonts w:hint="eastAsia" w:ascii="华文楷体" w:hAnsi="华文楷体" w:eastAsia="华文楷体" w:cs="华文楷体"/>
          <w:sz w:val="24"/>
          <w:lang w:eastAsia="zh-CN"/>
        </w:rPr>
        <w:t>采购</w:t>
      </w:r>
      <w:r>
        <w:rPr>
          <w:rFonts w:ascii="华文楷体" w:hAnsi="华文楷体" w:eastAsia="华文楷体" w:cs="华文楷体"/>
          <w:sz w:val="24"/>
        </w:rPr>
        <w:t>文件的实质性响应程度等方面进行审查，见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方法前附表。</w:t>
      </w:r>
    </w:p>
    <w:p>
      <w:pPr>
        <w:spacing w:line="360" w:lineRule="auto"/>
        <w:outlineLvl w:val="2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2详细评审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2.1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按照</w:t>
      </w:r>
      <w:r>
        <w:rPr>
          <w:rFonts w:hint="eastAsia" w:ascii="华文楷体" w:hAnsi="华文楷体" w:eastAsia="华文楷体" w:cs="华文楷体"/>
          <w:sz w:val="24"/>
          <w:lang w:eastAsia="zh-CN"/>
        </w:rPr>
        <w:t>采购</w:t>
      </w:r>
      <w:r>
        <w:rPr>
          <w:rFonts w:ascii="华文楷体" w:hAnsi="华文楷体" w:eastAsia="华文楷体" w:cs="华文楷体"/>
          <w:sz w:val="24"/>
        </w:rPr>
        <w:t>文件中规定的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方法和标准，对符合性审查合格的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文件进行商务和技术评估，综合比较与评价, 见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方法前附表。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2.2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各成员要依法独立评审，并对评审意见承担个人责任。对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的客观评分项的评分应当一致，对其他需要借助专业知识评判的主观评分项，应当严格按照评分细则公正评分。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2.3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成员对需要共同认定的事项存在争议的，按照少数服从多数的原则做出结论。持不同意见的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成员应当在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报告上签署不同意见并说明理由，否则视为同意。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2.4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文件报价出现前后不一致的，按照下列规定修正：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  <w:lang w:val="en-US" w:eastAsia="zh-CN"/>
        </w:rPr>
        <w:t>2.4.1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文件中开标一览表（报价表）内容与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文件中相应内容不一致的，以开标一览表（报价表）为准；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  <w:lang w:val="en-US" w:eastAsia="zh-CN"/>
        </w:rPr>
        <w:t>2.4.2</w:t>
      </w:r>
      <w:r>
        <w:rPr>
          <w:rFonts w:ascii="华文楷体" w:hAnsi="华文楷体" w:eastAsia="华文楷体" w:cs="华文楷体"/>
          <w:sz w:val="24"/>
        </w:rPr>
        <w:t>大写金额和小写金额不一致的，以大写金额为准；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  <w:lang w:val="en-US" w:eastAsia="zh-CN"/>
        </w:rPr>
        <w:t>2.4.3</w:t>
      </w:r>
      <w:r>
        <w:rPr>
          <w:rFonts w:ascii="华文楷体" w:hAnsi="华文楷体" w:eastAsia="华文楷体" w:cs="华文楷体"/>
          <w:sz w:val="24"/>
        </w:rPr>
        <w:t>单价金额小数点或者百分比有明显错位的，以开标一览表的总价为准，并修改单价；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  <w:lang w:val="en-US" w:eastAsia="zh-CN"/>
        </w:rPr>
        <w:t>2.4.4</w:t>
      </w:r>
      <w:r>
        <w:rPr>
          <w:rFonts w:ascii="华文楷体" w:hAnsi="华文楷体" w:eastAsia="华文楷体" w:cs="华文楷体"/>
          <w:sz w:val="24"/>
        </w:rPr>
        <w:t>总价金额与按单价汇总金额不一致的，以单价金额计算结果为准。</w:t>
      </w:r>
      <w:r>
        <w:rPr>
          <w:rFonts w:ascii="华文楷体" w:hAnsi="华文楷体" w:eastAsia="华文楷体" w:cs="华文楷体"/>
          <w:b/>
          <w:bCs/>
          <w:sz w:val="24"/>
        </w:rPr>
        <w:t>所有计算结果均保留小数点后两位</w:t>
      </w:r>
      <w:r>
        <w:rPr>
          <w:rFonts w:ascii="华文楷体" w:hAnsi="华文楷体" w:eastAsia="华文楷体" w:cs="华文楷体"/>
          <w:sz w:val="24"/>
        </w:rPr>
        <w:t>，小数点后第三位“四舍五入”。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★2.</w:t>
      </w:r>
      <w:r>
        <w:rPr>
          <w:rFonts w:hint="eastAsia" w:ascii="华文楷体" w:hAnsi="华文楷体" w:eastAsia="华文楷体" w:cs="华文楷体"/>
          <w:sz w:val="24"/>
        </w:rPr>
        <w:t>5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认为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的报价明显低于其他通过符合性审查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的报价，有可能影响产品质量或者不能诚信履约的，应当要求其在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现场合理的时间内提供书面说明，必要时提交相关证明材料；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不能证明其报价合理性的，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应当将其作为无效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处理。</w:t>
      </w:r>
    </w:p>
    <w:p>
      <w:pPr>
        <w:pStyle w:val="3"/>
        <w:outlineLvl w:val="1"/>
        <w:rPr>
          <w:rFonts w:ascii="华文楷体" w:hAnsi="华文楷体" w:eastAsia="华文楷体" w:cs="华文楷体"/>
          <w:sz w:val="24"/>
        </w:rPr>
      </w:pPr>
      <w:bookmarkStart w:id="6" w:name="_Toc25186"/>
      <w:bookmarkStart w:id="7" w:name="_Toc1631"/>
      <w:r>
        <w:rPr>
          <w:rFonts w:hint="eastAsia" w:ascii="华文楷体" w:hAnsi="华文楷体" w:eastAsia="华文楷体" w:cs="华文楷体"/>
          <w:sz w:val="24"/>
        </w:rPr>
        <w:t>三、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文件的澄清</w:t>
      </w:r>
      <w:bookmarkEnd w:id="6"/>
      <w:bookmarkEnd w:id="7"/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1在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过程中，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可以书面形式要求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对所提交的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文件中含义不明确、同类问题表述不一致或者有明显文字和计算错误的内容，进行书面澄清或说明。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不接受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主动提出的澄清、说明。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2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的澄清、说明应当采用书面形式，由法定代表人或其授权的代表签字，澄清事项不得超出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文件的范围并不得改变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文件的实质性内容（算术性错误修正的除外）。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的书面澄清、说明属于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文件的组成部分。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3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对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提交的澄清、说明有疑问的，可以要求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进一步澄清、说明。</w:t>
      </w:r>
    </w:p>
    <w:p>
      <w:pPr>
        <w:pStyle w:val="3"/>
        <w:outlineLvl w:val="1"/>
        <w:rPr>
          <w:rFonts w:ascii="华文楷体" w:hAnsi="华文楷体" w:eastAsia="华文楷体" w:cs="华文楷体"/>
          <w:sz w:val="24"/>
        </w:rPr>
      </w:pPr>
      <w:bookmarkStart w:id="8" w:name="_Toc28117"/>
      <w:bookmarkStart w:id="9" w:name="_Toc14055"/>
      <w:r>
        <w:rPr>
          <w:rFonts w:hint="eastAsia" w:ascii="华文楷体" w:hAnsi="华文楷体" w:eastAsia="华文楷体" w:cs="华文楷体"/>
          <w:sz w:val="24"/>
        </w:rPr>
        <w:t>四、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结果</w:t>
      </w:r>
      <w:bookmarkEnd w:id="8"/>
      <w:bookmarkEnd w:id="9"/>
    </w:p>
    <w:p>
      <w:pPr>
        <w:spacing w:line="360" w:lineRule="auto"/>
        <w:rPr>
          <w:rFonts w:hint="eastAsia" w:ascii="华文楷体" w:hAnsi="华文楷体" w:eastAsia="华文楷体" w:cs="华文楷体"/>
          <w:sz w:val="24"/>
          <w:lang w:eastAsia="zh-CN"/>
        </w:rPr>
      </w:pPr>
      <w:bookmarkStart w:id="10" w:name="_GoBack"/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hint="eastAsia" w:ascii="华文楷体" w:hAnsi="华文楷体" w:eastAsia="华文楷体" w:cs="华文楷体"/>
          <w:b w:val="0"/>
          <w:bCs w:val="0"/>
          <w:sz w:val="24"/>
        </w:rPr>
        <w:t>按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val="en-US" w:eastAsia="zh-CN"/>
        </w:rPr>
        <w:t>项目编号逐一评审，按</w:t>
      </w:r>
      <w:r>
        <w:rPr>
          <w:rFonts w:hint="eastAsia" w:ascii="华文楷体" w:hAnsi="华文楷体" w:eastAsia="华文楷体" w:cs="华文楷体"/>
          <w:b w:val="0"/>
          <w:bCs w:val="0"/>
          <w:sz w:val="24"/>
        </w:rPr>
        <w:t>总得分由高到低的顺序推荐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val="en-US" w:eastAsia="zh-CN"/>
        </w:rPr>
        <w:t>中标候选人</w:t>
      </w:r>
      <w:r>
        <w:rPr>
          <w:rFonts w:hint="eastAsia" w:ascii="华文楷体" w:hAnsi="华文楷体" w:eastAsia="华文楷体" w:cs="华文楷体"/>
          <w:b w:val="0"/>
          <w:bCs w:val="0"/>
          <w:sz w:val="24"/>
        </w:rPr>
        <w:t>。</w:t>
      </w:r>
      <w:bookmarkEnd w:id="10"/>
      <w:r>
        <w:rPr>
          <w:rFonts w:hint="eastAsia" w:ascii="华文楷体" w:hAnsi="华文楷体" w:eastAsia="华文楷体" w:cs="华文楷体"/>
          <w:b w:val="0"/>
          <w:bCs w:val="0"/>
          <w:sz w:val="24"/>
        </w:rPr>
        <w:t>得分相同的，按响应报价由低到高顺序排序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，</w:t>
      </w:r>
      <w:r>
        <w:rPr>
          <w:rFonts w:hint="eastAsia" w:ascii="华文楷体" w:hAnsi="华文楷体" w:eastAsia="华文楷体" w:cs="华文楷体"/>
          <w:b w:val="0"/>
          <w:bCs w:val="0"/>
          <w:sz w:val="24"/>
        </w:rPr>
        <w:t>得分且响应报价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val="en-US" w:eastAsia="zh-CN"/>
        </w:rPr>
        <w:t>相同的按技术部分得分排序，如再相同由评审小组讨论决定排序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F13F48D-C9E4-4D3F-B0C8-AA7644D2FEEE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F09A2C19-DFE0-47E4-B443-15F6794283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ZTUxMzg3NmY5ZjYyZjAyOGJkZjg5ZDVkMzc0YmYifQ=="/>
  </w:docVars>
  <w:rsids>
    <w:rsidRoot w:val="68ED23A1"/>
    <w:rsid w:val="00183996"/>
    <w:rsid w:val="004D72FC"/>
    <w:rsid w:val="006C5A58"/>
    <w:rsid w:val="00EA7AED"/>
    <w:rsid w:val="01696297"/>
    <w:rsid w:val="018C6DB8"/>
    <w:rsid w:val="03AC1080"/>
    <w:rsid w:val="047D014D"/>
    <w:rsid w:val="05063A65"/>
    <w:rsid w:val="057515BA"/>
    <w:rsid w:val="05CB2422"/>
    <w:rsid w:val="06226BEE"/>
    <w:rsid w:val="068F4112"/>
    <w:rsid w:val="09042ECC"/>
    <w:rsid w:val="09075307"/>
    <w:rsid w:val="0932531A"/>
    <w:rsid w:val="09CE2DA4"/>
    <w:rsid w:val="0AB954AA"/>
    <w:rsid w:val="0ADA598E"/>
    <w:rsid w:val="0C1338DB"/>
    <w:rsid w:val="0C612D6C"/>
    <w:rsid w:val="0D734E63"/>
    <w:rsid w:val="0E643415"/>
    <w:rsid w:val="0E855FC4"/>
    <w:rsid w:val="0EC67DB4"/>
    <w:rsid w:val="0F9D4B12"/>
    <w:rsid w:val="0F9E7AAB"/>
    <w:rsid w:val="0FA5199F"/>
    <w:rsid w:val="11B11D83"/>
    <w:rsid w:val="12BE1D47"/>
    <w:rsid w:val="12D83014"/>
    <w:rsid w:val="13697223"/>
    <w:rsid w:val="13AC2993"/>
    <w:rsid w:val="13DE46BF"/>
    <w:rsid w:val="14365D9D"/>
    <w:rsid w:val="144F2FB5"/>
    <w:rsid w:val="145372F0"/>
    <w:rsid w:val="15521AAE"/>
    <w:rsid w:val="15EA738E"/>
    <w:rsid w:val="16401C78"/>
    <w:rsid w:val="16591E84"/>
    <w:rsid w:val="174E378A"/>
    <w:rsid w:val="17621B1C"/>
    <w:rsid w:val="17990AC3"/>
    <w:rsid w:val="185B4CFD"/>
    <w:rsid w:val="19C0586F"/>
    <w:rsid w:val="19D74CFB"/>
    <w:rsid w:val="1ABE0B46"/>
    <w:rsid w:val="1AEB4C02"/>
    <w:rsid w:val="1AEE6F4C"/>
    <w:rsid w:val="1C89648F"/>
    <w:rsid w:val="1CC81301"/>
    <w:rsid w:val="1CD12633"/>
    <w:rsid w:val="1DAC0F64"/>
    <w:rsid w:val="1DB41365"/>
    <w:rsid w:val="1E7F64EB"/>
    <w:rsid w:val="1ED25815"/>
    <w:rsid w:val="1F45015A"/>
    <w:rsid w:val="20107B43"/>
    <w:rsid w:val="203C0637"/>
    <w:rsid w:val="20DB3EAF"/>
    <w:rsid w:val="2159170D"/>
    <w:rsid w:val="21640853"/>
    <w:rsid w:val="221B7BEB"/>
    <w:rsid w:val="2252000B"/>
    <w:rsid w:val="23E11C32"/>
    <w:rsid w:val="23E5533A"/>
    <w:rsid w:val="24073473"/>
    <w:rsid w:val="24A24397"/>
    <w:rsid w:val="24F06C89"/>
    <w:rsid w:val="25ED45CC"/>
    <w:rsid w:val="270E7C35"/>
    <w:rsid w:val="280963E2"/>
    <w:rsid w:val="284B6511"/>
    <w:rsid w:val="295A7282"/>
    <w:rsid w:val="29DB6845"/>
    <w:rsid w:val="2A1F4715"/>
    <w:rsid w:val="2A4B1276"/>
    <w:rsid w:val="2A601E62"/>
    <w:rsid w:val="2ADE7ED4"/>
    <w:rsid w:val="2AE714EE"/>
    <w:rsid w:val="2AF20BB1"/>
    <w:rsid w:val="2B02159F"/>
    <w:rsid w:val="2C0B4C88"/>
    <w:rsid w:val="2C57499B"/>
    <w:rsid w:val="2DDC1283"/>
    <w:rsid w:val="2E335F99"/>
    <w:rsid w:val="2F7A4730"/>
    <w:rsid w:val="30F02BCA"/>
    <w:rsid w:val="31261223"/>
    <w:rsid w:val="315E1496"/>
    <w:rsid w:val="31871B4D"/>
    <w:rsid w:val="31AF140A"/>
    <w:rsid w:val="31D06B2D"/>
    <w:rsid w:val="31ED5FEB"/>
    <w:rsid w:val="32110677"/>
    <w:rsid w:val="32291EC6"/>
    <w:rsid w:val="323B3CAF"/>
    <w:rsid w:val="3257620E"/>
    <w:rsid w:val="32691E1B"/>
    <w:rsid w:val="327B0B4B"/>
    <w:rsid w:val="32DF0A54"/>
    <w:rsid w:val="338225B9"/>
    <w:rsid w:val="344528F5"/>
    <w:rsid w:val="35191A11"/>
    <w:rsid w:val="35211D9B"/>
    <w:rsid w:val="36126D84"/>
    <w:rsid w:val="371500A9"/>
    <w:rsid w:val="381F418F"/>
    <w:rsid w:val="38E72CA7"/>
    <w:rsid w:val="39DE67D4"/>
    <w:rsid w:val="3A994B5D"/>
    <w:rsid w:val="3B1251B1"/>
    <w:rsid w:val="3B1F7166"/>
    <w:rsid w:val="3B7B3872"/>
    <w:rsid w:val="3C2E63D0"/>
    <w:rsid w:val="3C577B69"/>
    <w:rsid w:val="3C8E29D2"/>
    <w:rsid w:val="3C9A663B"/>
    <w:rsid w:val="3D5974B2"/>
    <w:rsid w:val="3E461AAC"/>
    <w:rsid w:val="3EB23D9E"/>
    <w:rsid w:val="3EFD2017"/>
    <w:rsid w:val="41125031"/>
    <w:rsid w:val="41634E9A"/>
    <w:rsid w:val="41AD2574"/>
    <w:rsid w:val="41F64EA7"/>
    <w:rsid w:val="429C4E23"/>
    <w:rsid w:val="42B66655"/>
    <w:rsid w:val="43807971"/>
    <w:rsid w:val="44B925B3"/>
    <w:rsid w:val="44BE0132"/>
    <w:rsid w:val="44EB30FF"/>
    <w:rsid w:val="451352A6"/>
    <w:rsid w:val="457041C4"/>
    <w:rsid w:val="45E95171"/>
    <w:rsid w:val="46423675"/>
    <w:rsid w:val="47220EF6"/>
    <w:rsid w:val="4852651A"/>
    <w:rsid w:val="491606A8"/>
    <w:rsid w:val="492B27BE"/>
    <w:rsid w:val="49522850"/>
    <w:rsid w:val="4BA47EEA"/>
    <w:rsid w:val="4BBB0C9C"/>
    <w:rsid w:val="4C475CD3"/>
    <w:rsid w:val="4C745061"/>
    <w:rsid w:val="4E056412"/>
    <w:rsid w:val="4E7628FD"/>
    <w:rsid w:val="4F211887"/>
    <w:rsid w:val="4F8D18F2"/>
    <w:rsid w:val="4FEF2F8E"/>
    <w:rsid w:val="500B3C3D"/>
    <w:rsid w:val="502D1488"/>
    <w:rsid w:val="50AD62CB"/>
    <w:rsid w:val="52330126"/>
    <w:rsid w:val="528D7BAD"/>
    <w:rsid w:val="52E552F2"/>
    <w:rsid w:val="53563EF3"/>
    <w:rsid w:val="54564534"/>
    <w:rsid w:val="54E62EC5"/>
    <w:rsid w:val="5509232A"/>
    <w:rsid w:val="55900EFA"/>
    <w:rsid w:val="56A42CC7"/>
    <w:rsid w:val="579348A0"/>
    <w:rsid w:val="58641B21"/>
    <w:rsid w:val="589241B7"/>
    <w:rsid w:val="59861A37"/>
    <w:rsid w:val="59DE232E"/>
    <w:rsid w:val="5AB407E7"/>
    <w:rsid w:val="5AEC3313"/>
    <w:rsid w:val="5B0C6EC7"/>
    <w:rsid w:val="5B702433"/>
    <w:rsid w:val="5BCF61C0"/>
    <w:rsid w:val="5D2D6307"/>
    <w:rsid w:val="5D45372C"/>
    <w:rsid w:val="5D956ADA"/>
    <w:rsid w:val="5DEF5207"/>
    <w:rsid w:val="5DFA58AF"/>
    <w:rsid w:val="5E286656"/>
    <w:rsid w:val="5E797935"/>
    <w:rsid w:val="5EAE3D6B"/>
    <w:rsid w:val="5F2A6567"/>
    <w:rsid w:val="5F833E6F"/>
    <w:rsid w:val="5FAE3A14"/>
    <w:rsid w:val="600A22E9"/>
    <w:rsid w:val="61DD16C6"/>
    <w:rsid w:val="62BC5BC6"/>
    <w:rsid w:val="632E6AB0"/>
    <w:rsid w:val="63464119"/>
    <w:rsid w:val="6379145E"/>
    <w:rsid w:val="64EA46E6"/>
    <w:rsid w:val="65C62CCC"/>
    <w:rsid w:val="65DE429C"/>
    <w:rsid w:val="65F37423"/>
    <w:rsid w:val="660C7F1F"/>
    <w:rsid w:val="67710F5B"/>
    <w:rsid w:val="67D53C16"/>
    <w:rsid w:val="681761A6"/>
    <w:rsid w:val="688370C4"/>
    <w:rsid w:val="68C71A5D"/>
    <w:rsid w:val="68ED23A1"/>
    <w:rsid w:val="698B7E77"/>
    <w:rsid w:val="69A513E9"/>
    <w:rsid w:val="6B1E145A"/>
    <w:rsid w:val="6B4E599E"/>
    <w:rsid w:val="6C6C62C2"/>
    <w:rsid w:val="6C7203A3"/>
    <w:rsid w:val="6CDC45D7"/>
    <w:rsid w:val="6CE81170"/>
    <w:rsid w:val="6CEF4F0F"/>
    <w:rsid w:val="6D773236"/>
    <w:rsid w:val="6D9504A1"/>
    <w:rsid w:val="6FD47300"/>
    <w:rsid w:val="7006779F"/>
    <w:rsid w:val="709629D8"/>
    <w:rsid w:val="70AA7461"/>
    <w:rsid w:val="70F62E47"/>
    <w:rsid w:val="71D359E0"/>
    <w:rsid w:val="72862412"/>
    <w:rsid w:val="7334527D"/>
    <w:rsid w:val="73A537A6"/>
    <w:rsid w:val="74165DE6"/>
    <w:rsid w:val="74172592"/>
    <w:rsid w:val="74181AC7"/>
    <w:rsid w:val="754B3E84"/>
    <w:rsid w:val="761A0506"/>
    <w:rsid w:val="778E76C8"/>
    <w:rsid w:val="78C66E6E"/>
    <w:rsid w:val="78E42BC9"/>
    <w:rsid w:val="79100D42"/>
    <w:rsid w:val="79FD69F6"/>
    <w:rsid w:val="7C4D1419"/>
    <w:rsid w:val="7EFE5E90"/>
    <w:rsid w:val="7F9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zh-CN" w:eastAsia="zh-CN" w:bidi="ar-SA"/>
    </w:r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Plain Text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12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5881</Words>
  <Characters>6202</Characters>
  <Lines>70</Lines>
  <Paragraphs>19</Paragraphs>
  <TotalTime>90</TotalTime>
  <ScaleCrop>false</ScaleCrop>
  <LinksUpToDate>false</LinksUpToDate>
  <CharactersWithSpaces>6359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2021-12-20T00:24:00Z</dcterms:created>
  <dc:creator>123</dc:creator>
  <cp:lastModifiedBy>Administrator</cp:lastModifiedBy>
  <cp:lastPrinted>2023-10-23T03:48:51Z</cp:lastPrinted>
  <dcterms:modified xsi:type="dcterms:W3CDTF">2023-10-23T03:59:00Z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1B69E3945E10427684646D490CABEF56</vt:lpwstr>
  </property>
</Properties>
</file>