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智慧医院初步设计相关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技术</w:t>
      </w:r>
      <w:bookmarkStart w:id="6" w:name="_GoBack"/>
      <w:bookmarkEnd w:id="6"/>
      <w:r>
        <w:rPr>
          <w:rFonts w:hint="eastAsia" w:ascii="宋体" w:hAnsi="宋体"/>
          <w:b/>
          <w:bCs/>
          <w:sz w:val="32"/>
          <w:szCs w:val="32"/>
        </w:rPr>
        <w:t>要求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hint="default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一、公司基本要求</w:t>
      </w:r>
    </w:p>
    <w:p>
      <w:pPr>
        <w:spacing w:line="360" w:lineRule="auto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（一）具有独立承担民事责任的能力；（二）具有良好的商业信誉和健全的财务会计制度；（三）具有履行合同所必需的设备和专业技术能力；（四）有依法缴纳税收和社会保障资金的良好记录；（五）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本次采购</w:t>
      </w:r>
      <w:r>
        <w:rPr>
          <w:rFonts w:hint="eastAsia" w:ascii="宋体" w:hAnsi="宋体"/>
          <w:b w:val="0"/>
          <w:bCs w:val="0"/>
          <w:sz w:val="24"/>
        </w:rPr>
        <w:t>活动前三年内，在经营活动中没有重大违法记录；（六）法律、行政法规规定的其他条件。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二、</w:t>
      </w:r>
      <w:r>
        <w:rPr>
          <w:rFonts w:ascii="宋体" w:hAnsi="宋体"/>
          <w:b/>
          <w:bCs/>
          <w:sz w:val="24"/>
        </w:rPr>
        <w:t>资格要求：</w:t>
      </w:r>
      <w:r>
        <w:rPr>
          <w:rFonts w:hint="eastAsia" w:ascii="宋体" w:hAnsi="宋体"/>
          <w:b/>
          <w:bCs/>
          <w:sz w:val="24"/>
        </w:rPr>
        <w:t>本项目非专门面向中小企业采购的项目。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三、</w:t>
      </w:r>
      <w:r>
        <w:rPr>
          <w:rFonts w:ascii="宋体" w:hAnsi="宋体"/>
          <w:b/>
          <w:bCs/>
          <w:sz w:val="24"/>
        </w:rPr>
        <w:t>本项目的特定资格要求：</w:t>
      </w:r>
    </w:p>
    <w:p>
      <w:pPr>
        <w:pStyle w:val="3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3.1</w:t>
      </w:r>
      <w:r>
        <w:rPr>
          <w:rFonts w:hint="eastAsia" w:hAnsi="宋体"/>
          <w:sz w:val="24"/>
          <w:szCs w:val="24"/>
        </w:rPr>
        <w:t>投标人应具有中华人民共和国住房和城乡建设部颁发的</w:t>
      </w:r>
      <w:r>
        <w:rPr>
          <w:rFonts w:hint="eastAsia" w:ascii="Arial" w:hAnsi="Arial" w:cs="Arial"/>
          <w:sz w:val="24"/>
          <w:szCs w:val="24"/>
          <w:shd w:val="clear" w:color="auto" w:fill="FFFFFF"/>
        </w:rPr>
        <w:t>电子通信广电行业</w:t>
      </w:r>
      <w:r>
        <w:rPr>
          <w:rFonts w:hint="eastAsia" w:ascii="Arial" w:hAnsi="Arial" w:cs="Arial"/>
          <w:b/>
          <w:bCs/>
          <w:sz w:val="24"/>
          <w:szCs w:val="24"/>
          <w:shd w:val="clear" w:color="auto" w:fill="FFFFFF"/>
        </w:rPr>
        <w:t>甲级资质</w:t>
      </w:r>
      <w:r>
        <w:rPr>
          <w:rFonts w:hint="eastAsia" w:hAnsi="宋体"/>
          <w:sz w:val="24"/>
          <w:szCs w:val="24"/>
        </w:rPr>
        <w:t>证书（提供扫描件加盖公章）。</w:t>
      </w:r>
    </w:p>
    <w:p>
      <w:pPr>
        <w:pStyle w:val="3"/>
        <w:spacing w:line="360" w:lineRule="auto"/>
        <w:ind w:firstLine="480" w:firstLineChars="200"/>
        <w:rPr>
          <w:rFonts w:hAnsi="宋体" w:cs="宋体"/>
          <w:b/>
          <w:bCs/>
          <w:sz w:val="24"/>
          <w:szCs w:val="24"/>
        </w:rPr>
      </w:pPr>
      <w:r>
        <w:rPr>
          <w:rFonts w:hAnsi="宋体"/>
          <w:sz w:val="24"/>
          <w:szCs w:val="24"/>
        </w:rPr>
        <w:t>3.2</w:t>
      </w:r>
      <w:r>
        <w:rPr>
          <w:rFonts w:hint="eastAsia" w:hAnsi="宋体"/>
          <w:sz w:val="24"/>
          <w:szCs w:val="24"/>
        </w:rPr>
        <w:t>投标人应在全国投资项目在线审批监管平台进行备案，备案专业包含电子、信息工程（含通信、广电、信息化），服务范围包含项目咨询（提供平台备案信息截图）。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单位负责人为同一人或者存在直接控股、管理关系的不同投标人，不得参加同一合同项下的采购活动</w:t>
      </w:r>
      <w:r>
        <w:rPr>
          <w:rFonts w:ascii="宋体" w:hAnsi="宋体"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投标人未被列入“信用中国”网站（www.creditchina.gov.cn）失信被执行人、重大税收违法失信主体、政府采购严重违法失信行为记录名单，及未被列入中国政府采购网（www.ccgp.gov.cn）“政府采购严重违法失信行为信息记录”，以本项目开标当天对上述信用信息进行查询核对的结果为准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3.5</w:t>
      </w:r>
      <w:r>
        <w:rPr>
          <w:rFonts w:hint="eastAsia" w:ascii="宋体" w:hAnsi="宋体"/>
          <w:sz w:val="24"/>
        </w:rPr>
        <w:t>本项目</w:t>
      </w:r>
      <w:r>
        <w:rPr>
          <w:rFonts w:hint="eastAsia" w:ascii="宋体" w:hAnsi="宋体"/>
          <w:b/>
          <w:bCs/>
          <w:sz w:val="24"/>
        </w:rPr>
        <w:t>不接受</w:t>
      </w:r>
      <w:r>
        <w:rPr>
          <w:rFonts w:hint="eastAsia" w:ascii="宋体" w:hAnsi="宋体"/>
          <w:sz w:val="24"/>
        </w:rPr>
        <w:t>联合体投标。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本项目为技术咨询类项目，完成我院智慧医院建设的初步设计工作，设计深度需满足项目后续招标深度，满足施工图设计深度。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主要建设内容</w:t>
      </w:r>
    </w:p>
    <w:p>
      <w:pPr>
        <w:pStyle w:val="2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_Toc139376688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4.1 网络及硬件</w:t>
      </w:r>
      <w:bookmarkEnd w:id="0"/>
    </w:p>
    <w:tbl>
      <w:tblPr>
        <w:tblStyle w:val="6"/>
        <w:tblW w:w="6592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787"/>
        <w:gridCol w:w="4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Header/>
        </w:trPr>
        <w:tc>
          <w:tcPr>
            <w:tcW w:w="669" w:type="dxa"/>
            <w:shd w:val="clear" w:color="auto" w:fill="D8D8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7" w:type="dxa"/>
            <w:shd w:val="clear" w:color="auto" w:fill="D8D8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4136" w:type="dxa"/>
            <w:shd w:val="clear" w:color="auto" w:fill="D8D8D8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资源服务内容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exact"/>
        </w:trPr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bookmarkStart w:id="1" w:name="_Hlk139216222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787" w:type="dxa"/>
            <w:vMerge w:val="restart"/>
            <w:vAlign w:val="center"/>
          </w:tcPr>
          <w:p>
            <w:pPr>
              <w:widowControl/>
              <w:spacing w:after="12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服务器资源扩容</w:t>
            </w:r>
          </w:p>
        </w:tc>
        <w:tc>
          <w:tcPr>
            <w:tcW w:w="4136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消费者服务器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widowControl/>
              <w:spacing w:after="12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136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文件摆渡服务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widowControl/>
              <w:spacing w:after="12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136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监控预警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widowControl/>
              <w:spacing w:after="12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136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文件缓存服务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widowControl/>
              <w:spacing w:after="12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136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缓存数据库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spacing w:after="12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全闪存存储</w:t>
            </w:r>
          </w:p>
        </w:tc>
        <w:tc>
          <w:tcPr>
            <w:tcW w:w="4136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智慧服务业务数据存储</w:t>
            </w:r>
          </w:p>
        </w:tc>
      </w:tr>
      <w:bookmarkEnd w:id="1"/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2"/>
        <w:spacing w:after="12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2" w:name="_Toc139376689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4.2 安全建设及国密</w:t>
      </w:r>
      <w:bookmarkEnd w:id="2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建设</w:t>
      </w:r>
    </w:p>
    <w:tbl>
      <w:tblPr>
        <w:tblStyle w:val="6"/>
        <w:tblW w:w="7644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787"/>
        <w:gridCol w:w="5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Header/>
        </w:trPr>
        <w:tc>
          <w:tcPr>
            <w:tcW w:w="669" w:type="dxa"/>
            <w:shd w:val="clear" w:color="auto" w:fill="D8D8D8"/>
            <w:vAlign w:val="center"/>
          </w:tcPr>
          <w:p>
            <w:pPr>
              <w:widowControl/>
              <w:spacing w:after="12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7" w:type="dxa"/>
            <w:shd w:val="clear" w:color="auto" w:fill="D8D8D8"/>
            <w:vAlign w:val="center"/>
          </w:tcPr>
          <w:p>
            <w:pPr>
              <w:widowControl/>
              <w:spacing w:after="12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5188" w:type="dxa"/>
            <w:shd w:val="clear" w:color="auto" w:fill="D8D8D8"/>
            <w:vAlign w:val="center"/>
          </w:tcPr>
          <w:p>
            <w:pPr>
              <w:widowControl/>
              <w:spacing w:after="12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设计内容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669" w:type="dxa"/>
            <w:vAlign w:val="center"/>
          </w:tcPr>
          <w:p>
            <w:pPr>
              <w:widowControl/>
              <w:spacing w:after="12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bookmarkStart w:id="3" w:name="_Hlk139216669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>
            <w:pPr>
              <w:widowControl/>
              <w:spacing w:after="12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防火墙</w:t>
            </w:r>
          </w:p>
        </w:tc>
        <w:tc>
          <w:tcPr>
            <w:tcW w:w="5188" w:type="dxa"/>
          </w:tcPr>
          <w:p>
            <w:pPr>
              <w:widowControl/>
              <w:spacing w:after="12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用于智慧服务互联网业务的安全防护，优化系统安全架构, 提升信息安全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669" w:type="dxa"/>
            <w:vAlign w:val="center"/>
          </w:tcPr>
          <w:p>
            <w:pPr>
              <w:widowControl/>
              <w:spacing w:after="12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>
            <w:pPr>
              <w:widowControl/>
              <w:spacing w:after="12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主机安全</w:t>
            </w:r>
          </w:p>
        </w:tc>
        <w:tc>
          <w:tcPr>
            <w:tcW w:w="5188" w:type="dxa"/>
          </w:tcPr>
          <w:p>
            <w:pPr>
              <w:widowControl/>
              <w:spacing w:after="12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应能对各类安全事件和新型攻击进行分析、识别、报警。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669" w:type="dxa"/>
            <w:vAlign w:val="center"/>
          </w:tcPr>
          <w:p>
            <w:pPr>
              <w:widowControl/>
              <w:spacing w:after="12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>
            <w:pPr>
              <w:widowControl/>
              <w:spacing w:after="12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网闸</w:t>
            </w:r>
          </w:p>
        </w:tc>
        <w:tc>
          <w:tcPr>
            <w:tcW w:w="5188" w:type="dxa"/>
          </w:tcPr>
          <w:p>
            <w:pPr>
              <w:widowControl/>
              <w:spacing w:after="12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从物理上隔离、阻断了对内网具有潜在攻击可能的一切网络连接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exact"/>
        </w:trPr>
        <w:tc>
          <w:tcPr>
            <w:tcW w:w="669" w:type="dxa"/>
            <w:vAlign w:val="center"/>
          </w:tcPr>
          <w:p>
            <w:pPr>
              <w:widowControl/>
              <w:spacing w:after="12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1787" w:type="dxa"/>
            <w:vMerge w:val="restart"/>
            <w:vAlign w:val="center"/>
          </w:tcPr>
          <w:p>
            <w:pPr>
              <w:widowControl/>
              <w:spacing w:after="12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国密改造</w:t>
            </w:r>
          </w:p>
        </w:tc>
        <w:tc>
          <w:tcPr>
            <w:tcW w:w="5188" w:type="dxa"/>
          </w:tcPr>
          <w:p>
            <w:pPr>
              <w:widowControl/>
              <w:spacing w:after="12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智慧服务业务SSL证书、国密标准建设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exact"/>
        </w:trPr>
        <w:tc>
          <w:tcPr>
            <w:tcW w:w="669" w:type="dxa"/>
            <w:vAlign w:val="center"/>
          </w:tcPr>
          <w:p>
            <w:pPr>
              <w:widowControl/>
              <w:spacing w:after="12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widowControl/>
              <w:spacing w:after="12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188" w:type="dxa"/>
          </w:tcPr>
          <w:p>
            <w:pPr>
              <w:widowControl/>
              <w:spacing w:after="12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国产化操作系统</w:t>
            </w:r>
          </w:p>
        </w:tc>
      </w:tr>
      <w:bookmarkEnd w:id="3"/>
    </w:tbl>
    <w:p>
      <w:pPr>
        <w:pStyle w:val="2"/>
        <w:rPr>
          <w:rFonts w:hint="default" w:ascii="宋体" w:hAnsi="宋体" w:eastAsia="宋体" w:cs="宋体"/>
          <w:b w:val="0"/>
          <w:bCs w:val="0"/>
          <w:sz w:val="24"/>
          <w:szCs w:val="24"/>
          <w:lang w:val="en-US"/>
        </w:rPr>
      </w:pPr>
      <w:bookmarkStart w:id="4" w:name="_Toc13937669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4.2.3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主要系统</w:t>
      </w:r>
      <w:bookmarkEnd w:id="4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功能</w:t>
      </w:r>
    </w:p>
    <w:tbl>
      <w:tblPr>
        <w:tblStyle w:val="7"/>
        <w:tblW w:w="7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04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67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系统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功能名称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696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基于中台技术的互联网综合运维平台改造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696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消息平台升级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696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移动应用分发平台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696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双向转诊平台功能升级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696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线上线下一体化统一医护身份认证体系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696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院前急救系统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696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急诊(绿色通道)患者定位和时间采集系统（软硬件）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696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微信公众号升级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696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微信互联网医院小程序升级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696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支付宝互联网医院小程序升级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696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病历复印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696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健康科普平台持续建设升级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6967" w:type="dxa"/>
            <w:vAlign w:val="center"/>
          </w:tcPr>
          <w:p>
            <w:pPr>
              <w:tabs>
                <w:tab w:val="left" w:pos="53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互联网挂号风控系统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6967" w:type="dxa"/>
            <w:vAlign w:val="center"/>
          </w:tcPr>
          <w:p>
            <w:pPr>
              <w:tabs>
                <w:tab w:val="left" w:pos="53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智能呼叫中心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6967" w:type="dxa"/>
            <w:vAlign w:val="center"/>
          </w:tcPr>
          <w:p>
            <w:pPr>
              <w:tabs>
                <w:tab w:val="left" w:pos="53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跨院区业务融合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6967" w:type="dxa"/>
            <w:vAlign w:val="center"/>
          </w:tcPr>
          <w:p>
            <w:pPr>
              <w:tabs>
                <w:tab w:val="left" w:pos="53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GPT大语言模型共建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6967" w:type="dxa"/>
            <w:vAlign w:val="center"/>
          </w:tcPr>
          <w:p>
            <w:pPr>
              <w:tabs>
                <w:tab w:val="left" w:pos="537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物联网应用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696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远程会诊平台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19</w:t>
            </w:r>
          </w:p>
        </w:tc>
        <w:tc>
          <w:tcPr>
            <w:tcW w:w="696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便民驿站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696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智慧病区（软硬件）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696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智慧服务适老化改造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bookmarkStart w:id="5" w:name="_Hlk139217459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22</w:t>
            </w:r>
          </w:p>
        </w:tc>
        <w:tc>
          <w:tcPr>
            <w:tcW w:w="696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互联网统一支付平台升级改造</w:t>
            </w:r>
          </w:p>
        </w:tc>
      </w:tr>
      <w:bookmarkEnd w:id="5"/>
    </w:tbl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包含本项目所有评审费用。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预算：7万元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工期：20个工作日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15855E"/>
    <w:multiLevelType w:val="singleLevel"/>
    <w:tmpl w:val="CB15855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3C2A49"/>
    <w:multiLevelType w:val="singleLevel"/>
    <w:tmpl w:val="413C2A4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38"/>
    <w:rsid w:val="00171038"/>
    <w:rsid w:val="005032EE"/>
    <w:rsid w:val="00607234"/>
    <w:rsid w:val="00646603"/>
    <w:rsid w:val="00690D60"/>
    <w:rsid w:val="0086307B"/>
    <w:rsid w:val="00C76DDD"/>
    <w:rsid w:val="00CE5F9A"/>
    <w:rsid w:val="00FD3909"/>
    <w:rsid w:val="00FF0F7C"/>
    <w:rsid w:val="0D5F336B"/>
    <w:rsid w:val="228F178B"/>
    <w:rsid w:val="5EB3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宋体"/>
      <w:szCs w:val="2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纯文本 字符"/>
    <w:basedOn w:val="8"/>
    <w:semiHidden/>
    <w:uiPriority w:val="99"/>
    <w:rPr>
      <w:rFonts w:hAnsi="Courier New" w:cs="Courier New" w:asciiTheme="minorEastAsia"/>
      <w:szCs w:val="24"/>
    </w:rPr>
  </w:style>
  <w:style w:type="character" w:customStyle="1" w:styleId="12">
    <w:name w:val="纯文本 字符1"/>
    <w:link w:val="3"/>
    <w:qFormat/>
    <w:uiPriority w:val="0"/>
    <w:rPr>
      <w:rFonts w:ascii="宋体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16</TotalTime>
  <ScaleCrop>false</ScaleCrop>
  <LinksUpToDate>false</LinksUpToDate>
  <CharactersWithSpaces>436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2024-01-02T01:34:00Z</dcterms:created>
  <dc:creator>cheng zhang</dc:creator>
  <cp:lastModifiedBy>陈昊昱</cp:lastModifiedBy>
  <dcterms:modified xsi:type="dcterms:W3CDTF">2024-01-18T09:34:09Z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44326B4A7FDC411990F1A8D349AD9675</vt:lpwstr>
  </property>
</Properties>
</file>