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44"/>
          <w:szCs w:val="44"/>
          <w:bdr w:val="none" w:color="auto" w:sz="0" w:space="0"/>
          <w:shd w:val="clear" w:fill="FFFFFF"/>
        </w:rPr>
        <w:t>临床路径上报系统需求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360" w:leftChars="0" w:right="0" w:rightChars="0"/>
        <w:jc w:val="both"/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1.</w:t>
      </w:r>
      <w:r>
        <w:rPr>
          <w:rFonts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完成临床路径国家要求上报的</w:t>
      </w:r>
      <w:r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25项内容。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360" w:leftChars="0" w:right="0" w:rightChars="0"/>
        <w:jc w:val="both"/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对其中项目进行编码转换，转换为特定要求编码。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360" w:leftChars="0" w:right="0" w:rightChars="0"/>
        <w:jc w:val="both"/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对以后要求增加的临床路径病种或上报内容无条件进行调整。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360" w:leftChars="0" w:right="0" w:rightChars="0"/>
        <w:jc w:val="both"/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4.</w:t>
      </w:r>
      <w:bookmarkStart w:id="0" w:name="_GoBack"/>
      <w:bookmarkEnd w:id="0"/>
      <w:r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系统自动形成报表，报表内容，</w:t>
      </w:r>
      <w:r>
        <w:rPr>
          <w:rFonts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将国家卫健委下发的临床路径病种目录及诊疗规范作为基础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，结合临床路径分组知识库，对医院历史病例大数据进行临床路径分组，帮助医院统计符合实际情况与自身特色的临床路径病种开展及应用。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6F80"/>
    <w:rsid w:val="192F3615"/>
    <w:rsid w:val="1A087960"/>
    <w:rsid w:val="1ABA3579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2022-12-05T03:21:00Z</dcterms:created>
  <dc:creator>cgz</dc:creator>
  <cp:lastModifiedBy>cgz</cp:lastModifiedBy>
  <dcterms:modified xsi:type="dcterms:W3CDTF">2023-12-14T01:02:41Z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129E9ADA569E44F2A1EA5B86391BC62D</vt:lpwstr>
  </property>
</Properties>
</file>