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contextualSpacing w:val="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安全重保技术参数</w:t>
      </w:r>
    </w:p>
    <w:p>
      <w:pPr>
        <w:pStyle w:val="4"/>
        <w:ind w:firstLine="565"/>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总体</w:t>
      </w:r>
      <w:bookmarkStart w:id="1" w:name="_GoBack"/>
      <w:bookmarkEnd w:id="1"/>
      <w:r>
        <w:rPr>
          <w:rFonts w:hint="eastAsia" w:ascii="楷体_GB2312" w:hAnsi="楷体_GB2312" w:eastAsia="楷体_GB2312" w:cs="楷体_GB2312"/>
          <w:sz w:val="32"/>
          <w:szCs w:val="32"/>
          <w:lang w:val="en-US" w:eastAsia="zh-CN"/>
        </w:rPr>
        <w:t>要求</w:t>
      </w:r>
    </w:p>
    <w:p>
      <w:pPr>
        <w:ind w:firstLine="560"/>
        <w:rPr>
          <w:rFonts w:ascii="仿宋" w:hAnsi="仿宋" w:eastAsia="仿宋"/>
          <w:sz w:val="32"/>
          <w:szCs w:val="32"/>
        </w:rPr>
      </w:pPr>
      <w:r>
        <w:rPr>
          <w:rFonts w:hint="eastAsia" w:ascii="仿宋" w:hAnsi="仿宋" w:eastAsia="仿宋"/>
          <w:sz w:val="32"/>
          <w:szCs w:val="32"/>
        </w:rPr>
        <w:t>根据相关国家标准、规范要求，完成自合同签订日起两年内重大活动期间信息安全保障服务。做到重保前期安全检查、中期防护、后期总结分析、全过程安全信息通报预警，建立昆明医科大学第二附属医院的重大活动期间安全防护体系、降低安全风险、提升安全防护能力、提升隐患发现能力和应急处置能力，配合医院完善信息系统安全防护体系，达到网络安全等级保护的基本要求和网络安全法要求。</w:t>
      </w:r>
    </w:p>
    <w:p>
      <w:pPr>
        <w:ind w:firstLine="560"/>
        <w:rPr>
          <w:rFonts w:ascii="仿宋" w:hAnsi="仿宋" w:eastAsia="仿宋" w:cs="宋体"/>
          <w:color w:val="000000"/>
          <w:kern w:val="0"/>
          <w:sz w:val="32"/>
          <w:szCs w:val="32"/>
          <w:lang w:val="zh-CN"/>
        </w:rPr>
      </w:pPr>
      <w:r>
        <w:rPr>
          <w:rFonts w:hint="eastAsia" w:ascii="仿宋" w:hAnsi="仿宋" w:eastAsia="仿宋" w:cs="宋体"/>
          <w:color w:val="000000"/>
          <w:kern w:val="0"/>
          <w:sz w:val="32"/>
          <w:szCs w:val="32"/>
          <w:lang w:val="zh-CN"/>
        </w:rPr>
        <w:t>采购标的需执行的国家相关标准、行业标准、地方标准或者其他标准、规范；</w:t>
      </w:r>
    </w:p>
    <w:p>
      <w:pPr>
        <w:ind w:firstLine="560"/>
        <w:rPr>
          <w:rFonts w:ascii="仿宋" w:hAnsi="仿宋" w:eastAsia="仿宋"/>
          <w:sz w:val="32"/>
          <w:szCs w:val="32"/>
        </w:rPr>
      </w:pPr>
      <w:r>
        <w:rPr>
          <w:rFonts w:hint="eastAsia" w:ascii="仿宋" w:hAnsi="仿宋" w:eastAsia="仿宋"/>
          <w:sz w:val="32"/>
          <w:szCs w:val="32"/>
        </w:rPr>
        <w:t>《中华人民共和国网络安全法》</w:t>
      </w:r>
    </w:p>
    <w:p>
      <w:pPr>
        <w:ind w:firstLine="56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网络</w:t>
      </w:r>
      <w:r>
        <w:rPr>
          <w:rFonts w:ascii="仿宋" w:hAnsi="仿宋" w:eastAsia="仿宋"/>
          <w:sz w:val="32"/>
          <w:szCs w:val="32"/>
        </w:rPr>
        <w:t>安全等级保护测评过程指南》GB/T28449-201</w:t>
      </w:r>
      <w:r>
        <w:rPr>
          <w:rFonts w:hint="eastAsia" w:ascii="仿宋" w:hAnsi="仿宋" w:eastAsia="仿宋"/>
          <w:sz w:val="32"/>
          <w:szCs w:val="32"/>
        </w:rPr>
        <w:t>8</w:t>
      </w:r>
    </w:p>
    <w:p>
      <w:pPr>
        <w:ind w:firstLine="560"/>
        <w:rPr>
          <w:rFonts w:ascii="仿宋" w:hAnsi="仿宋" w:eastAsia="仿宋"/>
          <w:sz w:val="32"/>
          <w:szCs w:val="32"/>
        </w:rPr>
      </w:pPr>
      <w:r>
        <w:rPr>
          <w:rFonts w:ascii="仿宋" w:hAnsi="仿宋" w:eastAsia="仿宋"/>
          <w:sz w:val="32"/>
          <w:szCs w:val="32"/>
        </w:rPr>
        <w:t>《信息安全技术</w:t>
      </w:r>
      <w:r>
        <w:rPr>
          <w:rFonts w:hint="eastAsia" w:ascii="仿宋" w:hAnsi="仿宋" w:eastAsia="仿宋"/>
          <w:sz w:val="32"/>
          <w:szCs w:val="32"/>
        </w:rPr>
        <w:t xml:space="preserve"> 网络</w:t>
      </w:r>
      <w:r>
        <w:rPr>
          <w:rFonts w:ascii="仿宋" w:hAnsi="仿宋" w:eastAsia="仿宋"/>
          <w:sz w:val="32"/>
          <w:szCs w:val="32"/>
        </w:rPr>
        <w:t>安全等级保护基本要求》GB/T 22239-20</w:t>
      </w:r>
      <w:r>
        <w:rPr>
          <w:rFonts w:hint="eastAsia" w:ascii="仿宋" w:hAnsi="仿宋" w:eastAsia="仿宋"/>
          <w:sz w:val="32"/>
          <w:szCs w:val="32"/>
        </w:rPr>
        <w:t>1</w:t>
      </w:r>
      <w:r>
        <w:rPr>
          <w:rFonts w:ascii="仿宋" w:hAnsi="仿宋" w:eastAsia="仿宋"/>
          <w:sz w:val="32"/>
          <w:szCs w:val="32"/>
        </w:rPr>
        <w:t>9</w:t>
      </w:r>
    </w:p>
    <w:p>
      <w:pPr>
        <w:ind w:firstLine="560"/>
        <w:rPr>
          <w:rFonts w:ascii="仿宋" w:hAnsi="仿宋" w:eastAsia="仿宋"/>
          <w:sz w:val="32"/>
          <w:szCs w:val="32"/>
        </w:rPr>
      </w:pPr>
      <w:r>
        <w:rPr>
          <w:rFonts w:ascii="仿宋" w:hAnsi="仿宋" w:eastAsia="仿宋"/>
          <w:sz w:val="32"/>
          <w:szCs w:val="32"/>
        </w:rPr>
        <w:t xml:space="preserve">《信息安全技术 </w:t>
      </w:r>
      <w:r>
        <w:rPr>
          <w:rFonts w:hint="eastAsia" w:ascii="仿宋" w:hAnsi="仿宋" w:eastAsia="仿宋"/>
          <w:sz w:val="32"/>
          <w:szCs w:val="32"/>
        </w:rPr>
        <w:t>网络</w:t>
      </w:r>
      <w:r>
        <w:rPr>
          <w:rFonts w:ascii="仿宋" w:hAnsi="仿宋" w:eastAsia="仿宋"/>
          <w:sz w:val="32"/>
          <w:szCs w:val="32"/>
        </w:rPr>
        <w:t>安全等级保护测评要求》GB/T 28448-2019</w:t>
      </w:r>
    </w:p>
    <w:p>
      <w:pPr>
        <w:ind w:firstLine="560"/>
        <w:rPr>
          <w:rFonts w:ascii="仿宋" w:hAnsi="仿宋" w:eastAsia="仿宋"/>
          <w:sz w:val="32"/>
          <w:szCs w:val="32"/>
        </w:rPr>
      </w:pPr>
      <w:r>
        <w:rPr>
          <w:rFonts w:ascii="仿宋" w:hAnsi="仿宋" w:eastAsia="仿宋"/>
          <w:sz w:val="32"/>
          <w:szCs w:val="32"/>
        </w:rPr>
        <w:t>《信息安全技术 信息系统安全通用技术要求》GB/T 20271—2006</w:t>
      </w:r>
    </w:p>
    <w:p>
      <w:pPr>
        <w:ind w:firstLine="560"/>
        <w:rPr>
          <w:rFonts w:ascii="仿宋" w:hAnsi="仿宋" w:eastAsia="仿宋"/>
          <w:sz w:val="32"/>
          <w:szCs w:val="32"/>
        </w:rPr>
      </w:pPr>
      <w:r>
        <w:rPr>
          <w:rFonts w:ascii="仿宋" w:hAnsi="仿宋" w:eastAsia="仿宋"/>
          <w:sz w:val="32"/>
          <w:szCs w:val="32"/>
        </w:rPr>
        <w:t>《信息安全技术 信息系统安全管理要求》GB/T 20269—2006</w:t>
      </w:r>
    </w:p>
    <w:p>
      <w:pPr>
        <w:ind w:firstLine="5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信息安全技术 网络基础安全技术要求》GB/T 20270—2006</w:t>
      </w:r>
    </w:p>
    <w:p>
      <w:pPr>
        <w:ind w:firstLine="56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信息安全技术 操作系统安全技术要求》GB/T 20272—2006</w:t>
      </w:r>
    </w:p>
    <w:p>
      <w:pPr>
        <w:ind w:firstLine="560"/>
        <w:rPr>
          <w:rFonts w:ascii="仿宋" w:hAnsi="仿宋" w:eastAsia="仿宋"/>
          <w:sz w:val="32"/>
          <w:szCs w:val="32"/>
        </w:rPr>
      </w:pPr>
      <w:r>
        <w:rPr>
          <w:rFonts w:ascii="仿宋" w:hAnsi="仿宋" w:eastAsia="仿宋"/>
          <w:sz w:val="32"/>
          <w:szCs w:val="32"/>
        </w:rPr>
        <w:t>《信息安全技术 数据库管理系统安全技术要求》GB/T 20273—2006</w:t>
      </w:r>
    </w:p>
    <w:p>
      <w:pPr>
        <w:ind w:firstLine="560"/>
        <w:rPr>
          <w:sz w:val="32"/>
          <w:szCs w:val="32"/>
        </w:rPr>
      </w:pPr>
      <w:r>
        <w:rPr>
          <w:rFonts w:ascii="仿宋" w:hAnsi="仿宋" w:eastAsia="仿宋"/>
          <w:sz w:val="32"/>
          <w:szCs w:val="32"/>
        </w:rPr>
        <w:t>《网络安全等级保护测评机构管理办法》公信安〔2018〕765号</w:t>
      </w:r>
    </w:p>
    <w:p>
      <w:pPr>
        <w:pStyle w:val="4"/>
        <w:ind w:firstLine="565"/>
        <w:rPr>
          <w:rFonts w:ascii="楷体_GB2312" w:hAnsi="楷体_GB2312" w:eastAsia="楷体_GB2312" w:cs="楷体_GB2312"/>
          <w:sz w:val="32"/>
          <w:szCs w:val="32"/>
        </w:rPr>
      </w:pPr>
      <w:r>
        <w:rPr>
          <w:rFonts w:hint="eastAsia" w:eastAsia="楷体_GB2312"/>
          <w:sz w:val="32"/>
          <w:szCs w:val="32"/>
          <w:lang w:val="en-US" w:eastAsia="zh-CN"/>
        </w:rPr>
        <w:t>服务内容</w:t>
      </w:r>
    </w:p>
    <w:p>
      <w:pPr>
        <w:ind w:firstLine="0" w:firstLineChars="0"/>
        <w:rPr>
          <w:sz w:val="32"/>
          <w:szCs w:val="32"/>
        </w:rPr>
      </w:pPr>
      <w:r>
        <w:rPr>
          <w:rFonts w:hint="eastAsia"/>
          <w:sz w:val="32"/>
          <w:szCs w:val="32"/>
        </w:rPr>
        <w:t>服务详细内容如下：</w:t>
      </w:r>
    </w:p>
    <w:p>
      <w:pPr>
        <w:pStyle w:val="5"/>
        <w:ind w:firstLine="649" w:firstLineChars="202"/>
        <w:rPr>
          <w:rFonts w:ascii="仿宋" w:hAnsi="仿宋" w:eastAsia="仿宋" w:cs="宋体"/>
          <w:b/>
          <w:color w:val="000000"/>
          <w:kern w:val="0"/>
          <w:sz w:val="32"/>
          <w:szCs w:val="32"/>
          <w:lang w:val="zh-CN"/>
        </w:rPr>
      </w:pPr>
      <w:r>
        <w:rPr>
          <w:rFonts w:hint="eastAsia" w:ascii="仿宋" w:hAnsi="仿宋" w:eastAsia="仿宋"/>
          <w:b/>
          <w:kern w:val="0"/>
          <w:sz w:val="32"/>
          <w:szCs w:val="32"/>
        </w:rPr>
        <w:t>重大活动期间安全保障服务</w:t>
      </w:r>
      <w:r>
        <w:rPr>
          <w:rFonts w:ascii="仿宋" w:hAnsi="仿宋" w:eastAsia="仿宋" w:cs="宋体"/>
          <w:b/>
          <w:color w:val="000000"/>
          <w:kern w:val="0"/>
          <w:sz w:val="32"/>
          <w:szCs w:val="32"/>
          <w:lang w:val="zh-CN"/>
        </w:rPr>
        <w:t xml:space="preserve"> </w:t>
      </w:r>
    </w:p>
    <w:p>
      <w:pPr>
        <w:ind w:firstLine="560"/>
        <w:rPr>
          <w:rFonts w:ascii="仿宋" w:hAnsi="仿宋" w:eastAsia="仿宋" w:cs="宋体"/>
          <w:b/>
          <w:bCs/>
          <w:color w:val="000000"/>
          <w:kern w:val="0"/>
          <w:sz w:val="32"/>
          <w:szCs w:val="32"/>
          <w:lang w:val="zh-CN"/>
        </w:rPr>
      </w:pPr>
      <w:bookmarkStart w:id="0" w:name="_Toc81259531"/>
      <w:r>
        <w:rPr>
          <w:rFonts w:hint="eastAsia" w:ascii="仿宋" w:hAnsi="仿宋" w:eastAsia="仿宋" w:cs="宋体"/>
          <w:color w:val="000000"/>
          <w:kern w:val="0"/>
          <w:sz w:val="32"/>
          <w:szCs w:val="32"/>
          <w:lang w:val="zh-CN"/>
        </w:rPr>
        <w:t>为保障昆明医科大学第二附属医院的重大时期、重点时段（如：国家护网、省护网、国家重要会议等）的网络安全运行，需要专业的技术团队指定安全保障计划，以保障昆明医科大学第二附属医院网络环境的安全运行，保障重要系统敏感时期业务稳定及数据安全，避免遭受通报等问题出现。服务方需进行开展重大活动期间安全保障工作，并提供一名安全工程师开展安全运维值守工作，</w:t>
      </w:r>
      <w:r>
        <w:rPr>
          <w:rFonts w:hint="eastAsia" w:ascii="仿宋" w:hAnsi="仿宋" w:eastAsia="仿宋" w:cs="宋体"/>
          <w:b/>
          <w:bCs/>
          <w:color w:val="000000"/>
          <w:kern w:val="0"/>
          <w:sz w:val="32"/>
          <w:szCs w:val="32"/>
          <w:lang w:val="zh-CN"/>
        </w:rPr>
        <w:t>人员现场值守</w:t>
      </w:r>
      <w:r>
        <w:rPr>
          <w:rFonts w:hint="eastAsia" w:ascii="仿宋" w:hAnsi="仿宋" w:eastAsia="仿宋" w:cs="宋体"/>
          <w:b/>
          <w:bCs/>
          <w:color w:val="000000"/>
          <w:kern w:val="0"/>
          <w:sz w:val="32"/>
          <w:szCs w:val="32"/>
          <w:lang w:val="en-US" w:eastAsia="zh-CN"/>
        </w:rPr>
        <w:t>每年</w:t>
      </w:r>
      <w:r>
        <w:rPr>
          <w:rFonts w:hint="eastAsia" w:ascii="仿宋" w:hAnsi="仿宋" w:eastAsia="仿宋" w:cs="宋体"/>
          <w:b/>
          <w:bCs/>
          <w:color w:val="000000"/>
          <w:kern w:val="0"/>
          <w:sz w:val="32"/>
          <w:szCs w:val="32"/>
          <w:lang w:val="zh-CN"/>
        </w:rPr>
        <w:t>不少于</w:t>
      </w:r>
      <w:r>
        <w:rPr>
          <w:rFonts w:ascii="仿宋" w:hAnsi="仿宋" w:eastAsia="仿宋" w:cs="宋体"/>
          <w:b/>
          <w:bCs/>
          <w:color w:val="000000"/>
          <w:kern w:val="0"/>
          <w:sz w:val="32"/>
          <w:szCs w:val="32"/>
          <w:lang w:val="zh-CN"/>
        </w:rPr>
        <w:t>40日。</w:t>
      </w:r>
    </w:p>
    <w:p>
      <w:pPr>
        <w:ind w:firstLine="560"/>
        <w:rPr>
          <w:rFonts w:ascii="仿宋" w:hAnsi="仿宋" w:eastAsia="仿宋" w:cs="宋体"/>
          <w:color w:val="000000"/>
          <w:kern w:val="0"/>
          <w:sz w:val="32"/>
          <w:szCs w:val="32"/>
          <w:lang w:val="zh-CN"/>
        </w:rPr>
      </w:pPr>
      <w:r>
        <w:rPr>
          <w:rFonts w:hint="eastAsia" w:ascii="仿宋" w:hAnsi="仿宋" w:eastAsia="仿宋" w:cs="宋体"/>
          <w:color w:val="000000"/>
          <w:kern w:val="0"/>
          <w:sz w:val="32"/>
          <w:szCs w:val="32"/>
          <w:lang w:val="zh-CN"/>
        </w:rPr>
        <w:t>详细服务内容如下：</w:t>
      </w:r>
      <w:bookmarkEnd w:id="0"/>
      <w:r>
        <w:rPr>
          <w:rFonts w:hint="eastAsia" w:ascii="仿宋" w:hAnsi="仿宋" w:eastAsia="仿宋" w:cs="宋体"/>
          <w:color w:val="000000"/>
          <w:kern w:val="0"/>
          <w:sz w:val="32"/>
          <w:szCs w:val="32"/>
          <w:lang w:val="zh-CN"/>
        </w:rPr>
        <w:t xml:space="preserve"> </w:t>
      </w:r>
    </w:p>
    <w:p>
      <w:pPr>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安全漏洞扫描及验证测试，在重大活动开始前期，对医院所有资产提供漏洞扫描及漏洞验证测试，并协助进行加固整改，有效避免黑客攻击行为，防患于未然，输出《漏洞扫描及验证测试报告》</w:t>
      </w:r>
    </w:p>
    <w:p>
      <w:pPr>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网络安全巡检，在重大活动开始前期对医院网络安全设备、服务器等进行安全威胁检测，及时发掘安全系统的安全弱点，对所发现的风险点进行处置，输出《网络安全巡检报告》；</w:t>
      </w:r>
    </w:p>
    <w:p>
      <w:pPr>
        <w:ind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渗透测试，在重大活动开始前期，在取得医院许可的情况下，对医院所有对外开放业务系统提供安全渗透测试及验证服务输出《渗透测试报告》。</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4网络资产测绘分析，在重大活动开始前期必须通过公安部第一研究所网络风险资产监测分析系统自动梳理识别昆明医科大学第二附属医院相关网络设备、安全设备、服务器、应用软件、支撑组件等类别，可识别的资产信息包括IP地址、开放的端口、使用的服务、资产名称、厂商、组件、操作系统等内容。输出《网络安全信息资产测绘报告》。</w:t>
      </w:r>
    </w:p>
    <w:p>
      <w:pPr>
        <w:ind w:firstLine="560"/>
        <w:rPr>
          <w:rFonts w:ascii="仿宋" w:hAnsi="仿宋" w:eastAsia="仿宋" w:cs="仿宋"/>
          <w:bCs/>
          <w:sz w:val="32"/>
          <w:szCs w:val="32"/>
        </w:rPr>
      </w:pPr>
      <w:r>
        <w:rPr>
          <w:rFonts w:hint="eastAsia" w:ascii="仿宋" w:hAnsi="仿宋" w:eastAsia="仿宋" w:cs="仿宋"/>
          <w:bCs/>
          <w:sz w:val="32"/>
          <w:szCs w:val="32"/>
        </w:rPr>
        <w:t>1</w:t>
      </w:r>
      <w:r>
        <w:rPr>
          <w:rFonts w:ascii="仿宋" w:hAnsi="仿宋" w:eastAsia="仿宋" w:cs="仿宋"/>
          <w:bCs/>
          <w:sz w:val="32"/>
          <w:szCs w:val="32"/>
        </w:rPr>
        <w:t>.5</w:t>
      </w:r>
      <w:r>
        <w:rPr>
          <w:rFonts w:hint="eastAsia" w:ascii="仿宋" w:hAnsi="仿宋" w:eastAsia="仿宋" w:cs="仿宋"/>
          <w:bCs/>
          <w:sz w:val="32"/>
          <w:szCs w:val="32"/>
        </w:rPr>
        <w:t>安全日志分析，在重大活动期间，需对网络、安全设备（系统）监测和报警记录进行分析、评审，发现可疑行为，形成分析报告，并采取必要的应对措施，提出优化建议及方案，预防安全事件发生。输出《安全日志分析报告》。</w:t>
      </w:r>
    </w:p>
    <w:p>
      <w:pPr>
        <w:spacing w:line="360" w:lineRule="auto"/>
        <w:ind w:firstLine="560"/>
        <w:rPr>
          <w:rFonts w:ascii="仿宋" w:hAnsi="仿宋" w:eastAsia="仿宋" w:cs="仿宋"/>
          <w:bCs/>
          <w:sz w:val="32"/>
          <w:szCs w:val="32"/>
        </w:rPr>
      </w:pPr>
      <w:r>
        <w:rPr>
          <w:rFonts w:hint="eastAsia" w:ascii="仿宋" w:hAnsi="仿宋" w:eastAsia="仿宋" w:cs="仿宋"/>
          <w:bCs/>
          <w:sz w:val="32"/>
          <w:szCs w:val="32"/>
        </w:rPr>
        <w:t>1</w:t>
      </w:r>
      <w:r>
        <w:rPr>
          <w:rFonts w:ascii="仿宋" w:hAnsi="仿宋" w:eastAsia="仿宋" w:cs="仿宋"/>
          <w:bCs/>
          <w:sz w:val="32"/>
          <w:szCs w:val="32"/>
        </w:rPr>
        <w:t>.6</w:t>
      </w:r>
      <w:r>
        <w:rPr>
          <w:rFonts w:hint="eastAsia" w:ascii="仿宋" w:hAnsi="仿宋" w:eastAsia="仿宋" w:cs="仿宋"/>
          <w:bCs/>
          <w:sz w:val="32"/>
          <w:szCs w:val="32"/>
        </w:rPr>
        <w:t>应急响应，在重大活动期间提供不定期信息安全应急支持，当医院信息系统发生安全事件时，第一时间解决问题，包括远程和现场的服务。</w:t>
      </w:r>
    </w:p>
    <w:p>
      <w:pPr>
        <w:spacing w:line="360" w:lineRule="auto"/>
        <w:ind w:firstLine="560"/>
        <w:rPr>
          <w:rFonts w:ascii="仿宋" w:hAnsi="仿宋" w:eastAsia="仿宋" w:cs="仿宋"/>
          <w:bCs/>
          <w:sz w:val="32"/>
          <w:szCs w:val="32"/>
        </w:rPr>
      </w:pPr>
      <w:r>
        <w:rPr>
          <w:rFonts w:hint="eastAsia" w:ascii="仿宋" w:hAnsi="仿宋" w:eastAsia="仿宋" w:cs="仿宋"/>
          <w:bCs/>
          <w:sz w:val="32"/>
          <w:szCs w:val="32"/>
        </w:rPr>
        <w:t>1</w:t>
      </w:r>
      <w:r>
        <w:rPr>
          <w:rFonts w:ascii="仿宋" w:hAnsi="仿宋" w:eastAsia="仿宋" w:cs="仿宋"/>
          <w:bCs/>
          <w:sz w:val="32"/>
          <w:szCs w:val="32"/>
        </w:rPr>
        <w:t>.7</w:t>
      </w:r>
      <w:r>
        <w:rPr>
          <w:rFonts w:hint="eastAsia" w:ascii="仿宋" w:hAnsi="仿宋" w:eastAsia="仿宋" w:cs="仿宋"/>
          <w:bCs/>
          <w:sz w:val="32"/>
          <w:szCs w:val="32"/>
        </w:rPr>
        <w:t>安全运维值守</w:t>
      </w:r>
    </w:p>
    <w:p>
      <w:pPr>
        <w:spacing w:line="360" w:lineRule="auto"/>
        <w:ind w:firstLine="560"/>
        <w:rPr>
          <w:rFonts w:ascii="仿宋" w:hAnsi="仿宋" w:eastAsia="仿宋" w:cs="仿宋"/>
          <w:bCs/>
          <w:sz w:val="32"/>
          <w:szCs w:val="32"/>
        </w:rPr>
      </w:pPr>
      <w:r>
        <w:rPr>
          <w:rFonts w:hint="eastAsia" w:ascii="仿宋" w:hAnsi="仿宋" w:eastAsia="仿宋" w:cs="仿宋"/>
          <w:bCs/>
          <w:sz w:val="32"/>
          <w:szCs w:val="32"/>
        </w:rPr>
        <w:t>在重大活动期间，服务方需提供一名人员驻场服务进行开展现场值守工作，需及时对发生的可疑安全风险事件进行及时发现、确认、阻断、恢复、溯源等工作。人员现场值守不少于40日，输出《日常安全监测报告》、《重保值守总结报告》。</w:t>
      </w:r>
    </w:p>
    <w:p>
      <w:pPr>
        <w:ind w:firstLine="560"/>
        <w:rPr>
          <w:rFonts w:ascii="仿宋" w:hAnsi="仿宋" w:eastAsia="仿宋" w:cs="仿宋"/>
          <w:bCs/>
          <w:sz w:val="32"/>
          <w:szCs w:val="32"/>
        </w:rPr>
      </w:pPr>
      <w:r>
        <w:rPr>
          <w:rFonts w:hint="eastAsia" w:ascii="仿宋" w:hAnsi="仿宋" w:eastAsia="仿宋" w:cs="仿宋"/>
          <w:bCs/>
          <w:sz w:val="32"/>
          <w:szCs w:val="32"/>
        </w:rPr>
        <w:t>1</w:t>
      </w:r>
      <w:r>
        <w:rPr>
          <w:rFonts w:ascii="仿宋" w:hAnsi="仿宋" w:eastAsia="仿宋" w:cs="仿宋"/>
          <w:bCs/>
          <w:sz w:val="32"/>
          <w:szCs w:val="32"/>
        </w:rPr>
        <w:t>.8</w:t>
      </w:r>
      <w:r>
        <w:rPr>
          <w:rFonts w:hint="eastAsia" w:ascii="仿宋" w:hAnsi="仿宋" w:eastAsia="仿宋" w:cs="仿宋"/>
          <w:bCs/>
          <w:sz w:val="32"/>
          <w:szCs w:val="32"/>
        </w:rPr>
        <w:t>总结分析</w:t>
      </w:r>
    </w:p>
    <w:p>
      <w:pPr>
        <w:pStyle w:val="2"/>
        <w:ind w:firstLine="560"/>
        <w:rPr>
          <w:rFonts w:ascii="仿宋" w:hAnsi="仿宋" w:eastAsia="仿宋" w:cs="仿宋"/>
          <w:bCs/>
          <w:kern w:val="2"/>
          <w:sz w:val="32"/>
          <w:szCs w:val="32"/>
        </w:rPr>
      </w:pPr>
      <w:r>
        <w:rPr>
          <w:rFonts w:hint="eastAsia" w:ascii="仿宋" w:hAnsi="仿宋" w:eastAsia="仿宋" w:cs="仿宋"/>
          <w:bCs/>
          <w:kern w:val="2"/>
          <w:sz w:val="32"/>
          <w:szCs w:val="32"/>
        </w:rPr>
        <w:t>服务要求：在重大活动完成后，对整个重保期间工作开展情况进行复盘及总结汇报，并输出整个重保期间所产生的文档。</w:t>
      </w:r>
    </w:p>
    <w:p>
      <w:pPr>
        <w:ind w:firstLine="560"/>
        <w:rPr>
          <w:rFonts w:ascii="仿宋" w:hAnsi="仿宋" w:eastAsia="仿宋" w:cs="仿宋"/>
          <w:bCs/>
          <w:sz w:val="32"/>
          <w:szCs w:val="32"/>
        </w:rPr>
      </w:pPr>
      <w:r>
        <w:rPr>
          <w:rFonts w:ascii="仿宋" w:hAnsi="仿宋" w:eastAsia="仿宋" w:cs="仿宋"/>
          <w:bCs/>
          <w:sz w:val="32"/>
          <w:szCs w:val="32"/>
        </w:rPr>
        <w:t>1.9</w:t>
      </w:r>
      <w:r>
        <w:rPr>
          <w:rFonts w:hint="eastAsia" w:ascii="仿宋" w:hAnsi="仿宋" w:eastAsia="仿宋" w:cs="仿宋"/>
          <w:bCs/>
          <w:sz w:val="32"/>
          <w:szCs w:val="32"/>
        </w:rPr>
        <w:t>安全威胁预警</w:t>
      </w:r>
    </w:p>
    <w:p>
      <w:pPr>
        <w:ind w:firstLine="560"/>
        <w:rPr>
          <w:rFonts w:ascii="仿宋" w:hAnsi="仿宋" w:eastAsia="仿宋" w:cs="仿宋"/>
          <w:bCs/>
          <w:sz w:val="32"/>
          <w:szCs w:val="32"/>
        </w:rPr>
      </w:pPr>
      <w:r>
        <w:rPr>
          <w:rFonts w:hint="eastAsia" w:ascii="仿宋" w:hAnsi="仿宋" w:eastAsia="仿宋" w:cs="仿宋"/>
          <w:bCs/>
          <w:sz w:val="32"/>
          <w:szCs w:val="32"/>
        </w:rPr>
        <w:t>在重大活动期间，服务方需依据最新的网络安全形势，收集和整理最新网络安全漏洞、网络安全事件、网络安全资讯等信息，通报给医院，并提供相应的解决办法。</w:t>
      </w:r>
    </w:p>
    <w:p>
      <w:pPr>
        <w:ind w:firstLine="560" w:firstLineChars="0"/>
        <w:rPr>
          <w:sz w:val="32"/>
          <w:szCs w:val="32"/>
        </w:rPr>
      </w:pPr>
      <w:r>
        <w:rPr>
          <w:rFonts w:ascii="仿宋" w:hAnsi="仿宋" w:eastAsia="仿宋" w:cs="仿宋"/>
          <w:bCs/>
          <w:sz w:val="32"/>
          <w:szCs w:val="32"/>
        </w:rPr>
        <w:t>1.10</w:t>
      </w:r>
      <w:r>
        <w:rPr>
          <w:rFonts w:hint="eastAsia" w:ascii="仿宋" w:hAnsi="仿宋" w:eastAsia="仿宋" w:cs="仿宋"/>
          <w:bCs/>
          <w:sz w:val="32"/>
          <w:szCs w:val="32"/>
        </w:rPr>
        <w:t>信息安全咨询</w:t>
      </w:r>
      <w:r>
        <w:rPr>
          <w:rFonts w:hint="eastAsia" w:ascii="仿宋" w:hAnsi="仿宋" w:eastAsia="仿宋" w:cs="宋体"/>
          <w:color w:val="000000"/>
          <w:kern w:val="0"/>
          <w:sz w:val="32"/>
          <w:szCs w:val="32"/>
        </w:rPr>
        <w:t>，针对处理日常工作中遇到信息系统安全方面的问题，依据最新的网络安全政策、标准及技术应用，结合网络安全趋势，定位网络安全保障需求及策略提供合理的解决方案。2个工作日内提出实质性的书面解决方案。</w:t>
      </w:r>
    </w:p>
    <w:p>
      <w:pPr>
        <w:pStyle w:val="5"/>
        <w:tabs>
          <w:tab w:val="clear" w:pos="170"/>
        </w:tabs>
        <w:ind w:firstLine="649" w:firstLineChars="202"/>
        <w:rPr>
          <w:rFonts w:ascii="仿宋" w:hAnsi="仿宋" w:eastAsia="仿宋"/>
          <w:b/>
          <w:kern w:val="0"/>
          <w:sz w:val="32"/>
          <w:szCs w:val="32"/>
        </w:rPr>
      </w:pPr>
      <w:r>
        <w:rPr>
          <w:rFonts w:hint="eastAsia" w:ascii="仿宋" w:hAnsi="仿宋" w:eastAsia="仿宋"/>
          <w:b/>
          <w:kern w:val="0"/>
          <w:sz w:val="32"/>
          <w:szCs w:val="32"/>
        </w:rPr>
        <w:t>临时专项检查支撑</w:t>
      </w:r>
    </w:p>
    <w:p>
      <w:pPr>
        <w:spacing w:line="360" w:lineRule="auto"/>
        <w:ind w:firstLine="560"/>
        <w:rPr>
          <w:sz w:val="32"/>
          <w:szCs w:val="32"/>
        </w:rPr>
      </w:pPr>
      <w:r>
        <w:rPr>
          <w:rFonts w:hint="eastAsia" w:ascii="仿宋" w:hAnsi="仿宋" w:eastAsia="仿宋" w:cs="宋体"/>
          <w:color w:val="000000"/>
          <w:kern w:val="0"/>
          <w:sz w:val="32"/>
          <w:szCs w:val="32"/>
        </w:rPr>
        <w:t>协助完成上级或监管等单位对医院在信息安全方面临时性布置保障的工作任务和整改任务。完成备查材料的准备，检查现场配合及过程资料归档等。</w:t>
      </w:r>
    </w:p>
    <w:p>
      <w:pPr>
        <w:pStyle w:val="4"/>
        <w:tabs>
          <w:tab w:val="clear" w:pos="170"/>
        </w:tabs>
        <w:ind w:left="280" w:right="-101" w:rightChars="-36" w:firstLine="560"/>
        <w:rPr>
          <w:rFonts w:ascii="仿宋" w:hAnsi="仿宋" w:eastAsia="仿宋" w:cs="仿宋"/>
          <w:sz w:val="32"/>
          <w:szCs w:val="32"/>
        </w:rPr>
      </w:pPr>
      <w:r>
        <w:rPr>
          <w:rFonts w:hint="eastAsia" w:ascii="仿宋" w:hAnsi="仿宋" w:eastAsia="仿宋" w:cs="仿宋"/>
          <w:sz w:val="32"/>
          <w:szCs w:val="32"/>
          <w:lang w:val="en-US" w:eastAsia="zh-CN"/>
        </w:rPr>
        <w:t>交付要求</w:t>
      </w:r>
    </w:p>
    <w:p>
      <w:pPr>
        <w:ind w:firstLine="0" w:firstLineChars="0"/>
        <w:rPr>
          <w:rFonts w:ascii="仿宋" w:hAnsi="仿宋" w:eastAsia="仿宋" w:cs="仿宋"/>
          <w:sz w:val="32"/>
          <w:szCs w:val="32"/>
        </w:rPr>
      </w:pPr>
      <w:r>
        <w:rPr>
          <w:rFonts w:hint="eastAsia" w:ascii="仿宋" w:hAnsi="仿宋" w:eastAsia="仿宋" w:cs="仿宋"/>
          <w:sz w:val="32"/>
          <w:szCs w:val="32"/>
        </w:rPr>
        <w:t>重大活动期间安全保障服务1套。</w:t>
      </w:r>
      <w:r>
        <w:rPr>
          <w:rFonts w:ascii="仿宋" w:hAnsi="仿宋" w:eastAsia="仿宋" w:cs="仿宋"/>
          <w:sz w:val="32"/>
          <w:szCs w:val="32"/>
        </w:rPr>
        <w:t xml:space="preserve"> </w:t>
      </w:r>
    </w:p>
    <w:p>
      <w:pPr>
        <w:ind w:firstLine="0" w:firstLineChars="0"/>
        <w:rPr>
          <w:rFonts w:ascii="仿宋" w:hAnsi="仿宋" w:eastAsia="仿宋" w:cs="仿宋"/>
          <w:sz w:val="32"/>
          <w:szCs w:val="32"/>
        </w:rPr>
      </w:pPr>
      <w:r>
        <w:rPr>
          <w:rFonts w:hint="eastAsia" w:ascii="仿宋" w:hAnsi="仿宋" w:eastAsia="仿宋" w:cs="仿宋"/>
          <w:sz w:val="32"/>
          <w:szCs w:val="32"/>
        </w:rPr>
        <w:t>服务采购期限：两年</w:t>
      </w:r>
    </w:p>
    <w:p>
      <w:pPr>
        <w:ind w:firstLine="0" w:firstLineChars="0"/>
        <w:rPr>
          <w:rFonts w:ascii="仿宋" w:hAnsi="仿宋" w:eastAsia="仿宋" w:cs="仿宋"/>
          <w:sz w:val="32"/>
          <w:szCs w:val="32"/>
        </w:rPr>
      </w:pPr>
      <w:r>
        <w:rPr>
          <w:rFonts w:hint="eastAsia" w:ascii="仿宋" w:hAnsi="仿宋" w:eastAsia="仿宋" w:cs="仿宋"/>
          <w:sz w:val="32"/>
          <w:szCs w:val="32"/>
        </w:rPr>
        <w:t>服务时间：合同签订后两年。</w:t>
      </w:r>
    </w:p>
    <w:p>
      <w:pPr>
        <w:ind w:firstLine="0" w:firstLineChars="0"/>
        <w:rPr>
          <w:rFonts w:ascii="仿宋" w:hAnsi="仿宋" w:eastAsia="仿宋" w:cs="仿宋"/>
          <w:color w:val="000000"/>
          <w:kern w:val="0"/>
          <w:sz w:val="32"/>
          <w:szCs w:val="32"/>
          <w:highlight w:val="yellow"/>
        </w:rPr>
      </w:pPr>
      <w:r>
        <w:rPr>
          <w:rFonts w:hint="eastAsia" w:ascii="仿宋" w:hAnsi="仿宋" w:eastAsia="仿宋" w:cs="仿宋"/>
          <w:sz w:val="32"/>
          <w:szCs w:val="32"/>
        </w:rPr>
        <w:t>采购交付或者实施和地点：采购方指定地点。</w:t>
      </w:r>
    </w:p>
    <w:p>
      <w:pPr>
        <w:pStyle w:val="4"/>
        <w:ind w:left="280" w:right="-101" w:rightChars="-36" w:firstLine="560"/>
        <w:rPr>
          <w:rFonts w:ascii="仿宋" w:hAnsi="仿宋" w:eastAsia="仿宋" w:cs="仿宋"/>
          <w:sz w:val="32"/>
          <w:szCs w:val="32"/>
        </w:rPr>
      </w:pPr>
      <w:r>
        <w:rPr>
          <w:rFonts w:hint="eastAsia" w:ascii="仿宋" w:hAnsi="仿宋" w:eastAsia="仿宋" w:cs="仿宋"/>
          <w:sz w:val="32"/>
          <w:szCs w:val="32"/>
        </w:rPr>
        <w:t>服务标准、期限、效率等要求</w:t>
      </w:r>
    </w:p>
    <w:p>
      <w:pPr>
        <w:ind w:firstLine="560"/>
        <w:rPr>
          <w:sz w:val="32"/>
          <w:szCs w:val="32"/>
        </w:rPr>
      </w:pPr>
      <w:r>
        <w:rPr>
          <w:rFonts w:hint="eastAsia"/>
          <w:sz w:val="32"/>
          <w:szCs w:val="32"/>
        </w:rPr>
        <w:t>服务期限：合同签订后两年</w:t>
      </w:r>
      <w:r>
        <w:rPr>
          <w:sz w:val="32"/>
          <w:szCs w:val="32"/>
        </w:rPr>
        <w:t xml:space="preserve">内 </w:t>
      </w:r>
    </w:p>
    <w:p>
      <w:pPr>
        <w:ind w:firstLine="560"/>
        <w:rPr>
          <w:sz w:val="32"/>
          <w:szCs w:val="32"/>
        </w:rPr>
      </w:pPr>
      <w:r>
        <w:rPr>
          <w:rFonts w:hint="eastAsia"/>
          <w:sz w:val="32"/>
          <w:szCs w:val="32"/>
        </w:rPr>
        <w:t>服务效率：根据采购人时间进度推进项目</w:t>
      </w:r>
    </w:p>
    <w:p>
      <w:pPr>
        <w:pStyle w:val="4"/>
        <w:ind w:left="280" w:right="-101" w:rightChars="-36" w:firstLine="560"/>
        <w:rPr>
          <w:rFonts w:ascii="仿宋" w:hAnsi="仿宋" w:eastAsia="仿宋" w:cs="仿宋"/>
          <w:sz w:val="32"/>
          <w:szCs w:val="32"/>
        </w:rPr>
      </w:pPr>
      <w:r>
        <w:rPr>
          <w:rFonts w:hint="eastAsia" w:ascii="仿宋" w:hAnsi="仿宋" w:eastAsia="仿宋" w:cs="仿宋"/>
          <w:sz w:val="32"/>
          <w:szCs w:val="32"/>
        </w:rPr>
        <w:t>采购标的验收标准</w:t>
      </w:r>
    </w:p>
    <w:p>
      <w:pPr>
        <w:ind w:right="-101" w:rightChars="-36"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重大活动期间安全保障服务需提交以下资料:</w:t>
      </w:r>
      <w:r>
        <w:rPr>
          <w:rFonts w:hint="eastAsia"/>
          <w:sz w:val="32"/>
          <w:szCs w:val="32"/>
        </w:rPr>
        <w:t xml:space="preserve"> </w:t>
      </w:r>
      <w:r>
        <w:rPr>
          <w:rFonts w:hint="eastAsia" w:ascii="仿宋" w:hAnsi="仿宋" w:eastAsia="仿宋" w:cs="宋体"/>
          <w:color w:val="000000"/>
          <w:kern w:val="0"/>
          <w:sz w:val="32"/>
          <w:szCs w:val="32"/>
        </w:rPr>
        <w:t>《漏洞扫描及验证测试报告》、《网络安全巡检报告》、《渗透测试报告》、《网络安全信息资产测绘报告》、《安全日志分析报告》、《日常安全监测报告》、《重保值守总结报告》</w:t>
      </w:r>
      <w:r>
        <w:rPr>
          <w:rFonts w:ascii="仿宋" w:hAnsi="仿宋" w:eastAsia="仿宋" w:cs="宋体"/>
          <w:color w:val="000000"/>
          <w:kern w:val="0"/>
          <w:sz w:val="32"/>
          <w:szCs w:val="32"/>
        </w:rPr>
        <w:t>以及重保期间所产生的其他文档</w:t>
      </w:r>
    </w:p>
    <w:p>
      <w:pPr>
        <w:pStyle w:val="4"/>
        <w:ind w:left="280" w:right="-101" w:rightChars="-36" w:firstLine="560"/>
        <w:rPr>
          <w:rFonts w:ascii="仿宋" w:hAnsi="仿宋" w:eastAsia="仿宋" w:cs="仿宋"/>
          <w:sz w:val="32"/>
          <w:szCs w:val="32"/>
        </w:rPr>
      </w:pPr>
      <w:r>
        <w:rPr>
          <w:rFonts w:hint="eastAsia" w:ascii="仿宋" w:hAnsi="仿宋" w:eastAsia="仿宋" w:cs="仿宋"/>
          <w:sz w:val="32"/>
          <w:szCs w:val="32"/>
        </w:rPr>
        <w:t>采购标的其他技术、服务等要求</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甲方</w:t>
      </w:r>
      <w:r>
        <w:rPr>
          <w:rFonts w:ascii="仿宋" w:hAnsi="仿宋" w:eastAsia="仿宋" w:cs="宋体"/>
          <w:color w:val="000000"/>
          <w:kern w:val="0"/>
          <w:sz w:val="32"/>
          <w:szCs w:val="32"/>
        </w:rPr>
        <w:t>具有对服务</w:t>
      </w:r>
      <w:r>
        <w:rPr>
          <w:rFonts w:hint="eastAsia" w:ascii="仿宋" w:hAnsi="仿宋" w:eastAsia="仿宋" w:cs="宋体"/>
          <w:color w:val="000000"/>
          <w:kern w:val="0"/>
          <w:sz w:val="32"/>
          <w:szCs w:val="32"/>
        </w:rPr>
        <w:t>方</w:t>
      </w:r>
      <w:r>
        <w:rPr>
          <w:rFonts w:ascii="仿宋" w:hAnsi="仿宋" w:eastAsia="仿宋" w:cs="宋体"/>
          <w:color w:val="000000"/>
          <w:kern w:val="0"/>
          <w:sz w:val="32"/>
          <w:szCs w:val="32"/>
        </w:rPr>
        <w:t>所提供的所有参与本项目人员进行考核的权力</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服务方</w:t>
      </w:r>
      <w:r>
        <w:rPr>
          <w:rFonts w:ascii="仿宋" w:hAnsi="仿宋" w:eastAsia="仿宋" w:cs="宋体"/>
          <w:color w:val="000000"/>
          <w:kern w:val="0"/>
          <w:sz w:val="32"/>
          <w:szCs w:val="32"/>
        </w:rPr>
        <w:t>指派项目经理</w:t>
      </w:r>
      <w:r>
        <w:rPr>
          <w:rFonts w:hint="eastAsia" w:ascii="仿宋" w:hAnsi="仿宋" w:eastAsia="仿宋" w:cs="宋体"/>
          <w:color w:val="000000"/>
          <w:kern w:val="0"/>
          <w:sz w:val="32"/>
          <w:szCs w:val="32"/>
        </w:rPr>
        <w:t>需</w:t>
      </w:r>
      <w:r>
        <w:rPr>
          <w:rFonts w:ascii="仿宋" w:hAnsi="仿宋" w:eastAsia="仿宋" w:cs="宋体"/>
          <w:color w:val="000000"/>
          <w:kern w:val="0"/>
          <w:sz w:val="32"/>
          <w:szCs w:val="32"/>
        </w:rPr>
        <w:t>具有 CISP 证书</w:t>
      </w:r>
      <w:r>
        <w:rPr>
          <w:rFonts w:hint="eastAsia" w:ascii="仿宋" w:hAnsi="仿宋" w:eastAsia="仿宋" w:cs="宋体"/>
          <w:color w:val="000000"/>
          <w:kern w:val="0"/>
          <w:sz w:val="32"/>
          <w:szCs w:val="32"/>
        </w:rPr>
        <w:t>。</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3、在本项目工程结束前，参加本项目的人员变动必须取得</w:t>
      </w:r>
      <w:r>
        <w:rPr>
          <w:rFonts w:hint="eastAsia" w:ascii="仿宋" w:hAnsi="仿宋" w:eastAsia="仿宋" w:cs="宋体"/>
          <w:color w:val="000000"/>
          <w:kern w:val="0"/>
          <w:sz w:val="32"/>
          <w:szCs w:val="32"/>
        </w:rPr>
        <w:t>甲方</w:t>
      </w:r>
      <w:r>
        <w:rPr>
          <w:rFonts w:ascii="仿宋" w:hAnsi="仿宋" w:eastAsia="仿宋" w:cs="宋体"/>
          <w:color w:val="000000"/>
          <w:kern w:val="0"/>
          <w:sz w:val="32"/>
          <w:szCs w:val="32"/>
        </w:rPr>
        <w:t>同意，并立即安排拟订候</w:t>
      </w:r>
      <w:r>
        <w:rPr>
          <w:rFonts w:hint="eastAsia" w:ascii="仿宋" w:hAnsi="仿宋" w:eastAsia="仿宋" w:cs="宋体"/>
          <w:color w:val="000000"/>
          <w:kern w:val="0"/>
          <w:sz w:val="32"/>
          <w:szCs w:val="32"/>
        </w:rPr>
        <w:t>人员予以补充</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甲方具</w:t>
      </w:r>
      <w:r>
        <w:rPr>
          <w:rFonts w:ascii="仿宋" w:hAnsi="仿宋" w:eastAsia="仿宋" w:cs="宋体"/>
          <w:color w:val="000000"/>
          <w:kern w:val="0"/>
          <w:sz w:val="32"/>
          <w:szCs w:val="32"/>
        </w:rPr>
        <w:t>有对服务</w:t>
      </w:r>
      <w:r>
        <w:rPr>
          <w:rFonts w:hint="eastAsia" w:ascii="仿宋" w:hAnsi="仿宋" w:eastAsia="仿宋" w:cs="宋体"/>
          <w:color w:val="000000"/>
          <w:kern w:val="0"/>
          <w:sz w:val="32"/>
          <w:szCs w:val="32"/>
        </w:rPr>
        <w:t>方</w:t>
      </w:r>
      <w:r>
        <w:rPr>
          <w:rFonts w:ascii="仿宋" w:hAnsi="仿宋" w:eastAsia="仿宋" w:cs="宋体"/>
          <w:color w:val="000000"/>
          <w:kern w:val="0"/>
          <w:sz w:val="32"/>
          <w:szCs w:val="32"/>
        </w:rPr>
        <w:t>参与项目人员进行能力测试的权力。对于不满足甲方要求的人员，甲方有权要求服务商无条件更换，且不能影响项目进度</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5、合同签订后</w:t>
      </w:r>
      <w:r>
        <w:rPr>
          <w:rFonts w:hint="eastAsia" w:ascii="仿宋" w:hAnsi="仿宋" w:eastAsia="仿宋" w:cs="宋体"/>
          <w:color w:val="000000"/>
          <w:kern w:val="0"/>
          <w:sz w:val="32"/>
          <w:szCs w:val="32"/>
        </w:rPr>
        <w:t>需</w:t>
      </w:r>
      <w:r>
        <w:rPr>
          <w:rFonts w:ascii="仿宋" w:hAnsi="仿宋" w:eastAsia="仿宋" w:cs="宋体"/>
          <w:color w:val="000000"/>
          <w:kern w:val="0"/>
          <w:sz w:val="32"/>
          <w:szCs w:val="32"/>
        </w:rPr>
        <w:t>按照甲方要求的时间内完成工作</w:t>
      </w:r>
    </w:p>
    <w:p>
      <w:pPr>
        <w:ind w:firstLine="560"/>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若</w:t>
      </w:r>
      <w:r>
        <w:rPr>
          <w:rFonts w:ascii="仿宋" w:hAnsi="仿宋" w:eastAsia="仿宋" w:cs="宋体"/>
          <w:color w:val="000000"/>
          <w:kern w:val="0"/>
          <w:sz w:val="32"/>
          <w:szCs w:val="32"/>
        </w:rPr>
        <w:t>由于</w:t>
      </w:r>
      <w:r>
        <w:rPr>
          <w:rFonts w:hint="eastAsia" w:ascii="仿宋" w:hAnsi="仿宋" w:eastAsia="仿宋" w:cs="宋体"/>
          <w:color w:val="000000"/>
          <w:kern w:val="0"/>
          <w:sz w:val="32"/>
          <w:szCs w:val="32"/>
        </w:rPr>
        <w:t>服务方</w:t>
      </w:r>
      <w:r>
        <w:rPr>
          <w:rFonts w:ascii="仿宋" w:hAnsi="仿宋" w:eastAsia="仿宋" w:cs="宋体"/>
          <w:color w:val="000000"/>
          <w:kern w:val="0"/>
          <w:sz w:val="32"/>
          <w:szCs w:val="32"/>
        </w:rPr>
        <w:t>自身原因导致项目进度滞后于项目计划，甲方可根据合同要求追究服务</w:t>
      </w:r>
      <w:r>
        <w:rPr>
          <w:rFonts w:hint="eastAsia" w:ascii="仿宋" w:hAnsi="仿宋" w:eastAsia="仿宋" w:cs="宋体"/>
          <w:color w:val="000000"/>
          <w:kern w:val="0"/>
          <w:sz w:val="32"/>
          <w:szCs w:val="32"/>
        </w:rPr>
        <w:t>方</w:t>
      </w:r>
      <w:r>
        <w:rPr>
          <w:rFonts w:ascii="仿宋" w:hAnsi="仿宋" w:eastAsia="仿宋" w:cs="宋体"/>
          <w:color w:val="000000"/>
          <w:kern w:val="0"/>
          <w:sz w:val="32"/>
          <w:szCs w:val="32"/>
        </w:rPr>
        <w:t>责任</w:t>
      </w:r>
    </w:p>
    <w:p>
      <w:pPr>
        <w:ind w:right="-101" w:rightChars="-36" w:firstLine="560"/>
        <w:rPr>
          <w:rFonts w:ascii="仿宋" w:hAnsi="仿宋" w:eastAsia="仿宋" w:cs="宋体"/>
          <w:color w:val="000000"/>
          <w:kern w:val="0"/>
          <w:sz w:val="32"/>
          <w:szCs w:val="32"/>
        </w:rPr>
      </w:pPr>
      <w:r>
        <w:rPr>
          <w:rFonts w:hint="eastAsia" w:ascii="仿宋" w:hAnsi="仿宋" w:eastAsia="仿宋" w:cs="宋体"/>
          <w:color w:val="000000"/>
          <w:kern w:val="0"/>
          <w:sz w:val="32"/>
          <w:szCs w:val="32"/>
        </w:rPr>
        <w:t>7、服务需满足国家相关标准及要求。</w:t>
      </w:r>
    </w:p>
    <w:p>
      <w:pPr>
        <w:ind w:left="0" w:leftChars="0" w:firstLine="0" w:firstLineChars="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5" w:h="16838"/>
      <w:pgMar w:top="1440" w:right="1803" w:bottom="1440" w:left="1803" w:header="850" w:footer="992" w:gutter="0"/>
      <w:cols w:space="0" w:num="1"/>
      <w:docGrid w:type="lines" w:linePitch="3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70ECE"/>
    <w:multiLevelType w:val="multilevel"/>
    <w:tmpl w:val="46270ECE"/>
    <w:lvl w:ilvl="0" w:tentative="0">
      <w:start w:val="1"/>
      <w:numFmt w:val="chineseCountingThousand"/>
      <w:pStyle w:val="3"/>
      <w:lvlText w:val="%1、"/>
      <w:lvlJc w:val="left"/>
      <w:pPr>
        <w:tabs>
          <w:tab w:val="left" w:pos="170"/>
        </w:tabs>
        <w:ind w:left="0" w:firstLine="0"/>
      </w:pPr>
      <w:rPr>
        <w:rFonts w:hint="eastAsia" w:ascii="黑体" w:hAnsi="黑体" w:eastAsia="黑体"/>
        <w:b w:val="0"/>
        <w:i w:val="0"/>
        <w:sz w:val="28"/>
      </w:rPr>
    </w:lvl>
    <w:lvl w:ilvl="1" w:tentative="0">
      <w:start w:val="1"/>
      <w:numFmt w:val="chineseCountingThousand"/>
      <w:pStyle w:val="4"/>
      <w:lvlText w:val="（%2）"/>
      <w:lvlJc w:val="left"/>
      <w:pPr>
        <w:tabs>
          <w:tab w:val="left" w:pos="113"/>
        </w:tabs>
        <w:ind w:left="-285" w:firstLine="0"/>
      </w:pPr>
      <w:rPr>
        <w:rFonts w:hint="eastAsia" w:eastAsia="楷体"/>
        <w:b w:val="0"/>
        <w:i w:val="0"/>
        <w:sz w:val="28"/>
      </w:rPr>
    </w:lvl>
    <w:lvl w:ilvl="2" w:tentative="0">
      <w:start w:val="1"/>
      <w:numFmt w:val="decimal"/>
      <w:pStyle w:val="5"/>
      <w:lvlText w:val="%3."/>
      <w:lvlJc w:val="left"/>
      <w:pPr>
        <w:tabs>
          <w:tab w:val="left" w:pos="113"/>
        </w:tabs>
        <w:ind w:left="0" w:firstLine="0"/>
      </w:pPr>
      <w:rPr>
        <w:rFonts w:hint="eastAsia" w:eastAsia="仿宋_GB2312"/>
        <w:b w:val="0"/>
        <w:i w:val="0"/>
        <w:sz w:val="28"/>
      </w:rPr>
    </w:lvl>
    <w:lvl w:ilvl="3" w:tentative="0">
      <w:start w:val="1"/>
      <w:numFmt w:val="decimal"/>
      <w:pStyle w:val="6"/>
      <w:lvlText w:val="（%4）"/>
      <w:lvlJc w:val="left"/>
      <w:pPr>
        <w:tabs>
          <w:tab w:val="left" w:pos="113"/>
        </w:tabs>
        <w:ind w:left="0" w:firstLine="0"/>
      </w:pPr>
      <w:rPr>
        <w:rFonts w:hint="eastAsia" w:eastAsia="仿宋_GB2312"/>
        <w:b w:val="0"/>
        <w:i w:val="0"/>
        <w:sz w:val="28"/>
      </w:rPr>
    </w:lvl>
    <w:lvl w:ilvl="4" w:tentative="0">
      <w:start w:val="1"/>
      <w:numFmt w:val="decimal"/>
      <w:pStyle w:val="7"/>
      <w:lvlText w:val="%4.%5."/>
      <w:lvlJc w:val="left"/>
      <w:pPr>
        <w:tabs>
          <w:tab w:val="left" w:pos="113"/>
        </w:tabs>
        <w:ind w:left="0" w:firstLine="0"/>
      </w:pPr>
      <w:rPr>
        <w:rFonts w:hint="eastAsia" w:eastAsia="仿宋_GB2312"/>
        <w:b w:val="0"/>
        <w:i w:val="0"/>
        <w:sz w:val="28"/>
      </w:rPr>
    </w:lvl>
    <w:lvl w:ilvl="5" w:tentative="0">
      <w:start w:val="1"/>
      <w:numFmt w:val="decimal"/>
      <w:pStyle w:val="8"/>
      <w:lvlText w:val="%4.%5.%6."/>
      <w:lvlJc w:val="left"/>
      <w:pPr>
        <w:ind w:left="0" w:firstLine="0"/>
      </w:pPr>
      <w:rPr>
        <w:rFonts w:hint="eastAsia" w:eastAsia="仿宋_GB2312"/>
        <w:b w:val="0"/>
        <w:i w:val="0"/>
        <w:sz w:val="28"/>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80"/>
  <w:drawingGridVerticalSpacing w:val="194"/>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BC"/>
    <w:rsid w:val="0000126A"/>
    <w:rsid w:val="00007164"/>
    <w:rsid w:val="00011AE1"/>
    <w:rsid w:val="00023EC2"/>
    <w:rsid w:val="000359D3"/>
    <w:rsid w:val="000376F5"/>
    <w:rsid w:val="00053A52"/>
    <w:rsid w:val="0007528F"/>
    <w:rsid w:val="00076A83"/>
    <w:rsid w:val="000A007E"/>
    <w:rsid w:val="000A39D5"/>
    <w:rsid w:val="000A3E27"/>
    <w:rsid w:val="000B1768"/>
    <w:rsid w:val="000D00CD"/>
    <w:rsid w:val="000D0E48"/>
    <w:rsid w:val="000D2FB9"/>
    <w:rsid w:val="000E7179"/>
    <w:rsid w:val="00113666"/>
    <w:rsid w:val="00137E3F"/>
    <w:rsid w:val="00157024"/>
    <w:rsid w:val="001604B4"/>
    <w:rsid w:val="001945BB"/>
    <w:rsid w:val="001A24E8"/>
    <w:rsid w:val="001C4DC3"/>
    <w:rsid w:val="001D4595"/>
    <w:rsid w:val="001D6BCD"/>
    <w:rsid w:val="001F0DFE"/>
    <w:rsid w:val="001F2076"/>
    <w:rsid w:val="0020013D"/>
    <w:rsid w:val="0021277C"/>
    <w:rsid w:val="00231B32"/>
    <w:rsid w:val="00251F26"/>
    <w:rsid w:val="00256FD4"/>
    <w:rsid w:val="00263BA5"/>
    <w:rsid w:val="00265DCF"/>
    <w:rsid w:val="002844E9"/>
    <w:rsid w:val="00287F6B"/>
    <w:rsid w:val="00296F7B"/>
    <w:rsid w:val="002A0CA9"/>
    <w:rsid w:val="002B00FA"/>
    <w:rsid w:val="002C6EB3"/>
    <w:rsid w:val="002E7FC4"/>
    <w:rsid w:val="00301A56"/>
    <w:rsid w:val="00312366"/>
    <w:rsid w:val="003134DF"/>
    <w:rsid w:val="00321860"/>
    <w:rsid w:val="00341125"/>
    <w:rsid w:val="003523BD"/>
    <w:rsid w:val="003557B7"/>
    <w:rsid w:val="00377A10"/>
    <w:rsid w:val="00380397"/>
    <w:rsid w:val="00381031"/>
    <w:rsid w:val="00386E9B"/>
    <w:rsid w:val="003B19A9"/>
    <w:rsid w:val="003B28EB"/>
    <w:rsid w:val="003D7A36"/>
    <w:rsid w:val="003E0694"/>
    <w:rsid w:val="003E42F0"/>
    <w:rsid w:val="0040429A"/>
    <w:rsid w:val="00420CBA"/>
    <w:rsid w:val="004456E8"/>
    <w:rsid w:val="004673E6"/>
    <w:rsid w:val="00474479"/>
    <w:rsid w:val="00487242"/>
    <w:rsid w:val="00491BB7"/>
    <w:rsid w:val="004B0036"/>
    <w:rsid w:val="004B5575"/>
    <w:rsid w:val="004B7E4C"/>
    <w:rsid w:val="004C24CC"/>
    <w:rsid w:val="004C4B45"/>
    <w:rsid w:val="00504E98"/>
    <w:rsid w:val="00513569"/>
    <w:rsid w:val="005277AB"/>
    <w:rsid w:val="00536006"/>
    <w:rsid w:val="00576A22"/>
    <w:rsid w:val="005918C7"/>
    <w:rsid w:val="005A6CBB"/>
    <w:rsid w:val="005B4A34"/>
    <w:rsid w:val="005C1ABC"/>
    <w:rsid w:val="005F33CA"/>
    <w:rsid w:val="005F4CA4"/>
    <w:rsid w:val="00622040"/>
    <w:rsid w:val="00646D81"/>
    <w:rsid w:val="006504FD"/>
    <w:rsid w:val="006569F4"/>
    <w:rsid w:val="00657E05"/>
    <w:rsid w:val="006834ED"/>
    <w:rsid w:val="00687B16"/>
    <w:rsid w:val="006B5842"/>
    <w:rsid w:val="006C1760"/>
    <w:rsid w:val="006D11C2"/>
    <w:rsid w:val="006E3DE1"/>
    <w:rsid w:val="00720F83"/>
    <w:rsid w:val="00721459"/>
    <w:rsid w:val="00744385"/>
    <w:rsid w:val="00785550"/>
    <w:rsid w:val="00785955"/>
    <w:rsid w:val="007B5A29"/>
    <w:rsid w:val="007C0073"/>
    <w:rsid w:val="007C5189"/>
    <w:rsid w:val="007C7F28"/>
    <w:rsid w:val="007D10DE"/>
    <w:rsid w:val="007D1A93"/>
    <w:rsid w:val="007D460E"/>
    <w:rsid w:val="007E0F14"/>
    <w:rsid w:val="007E4D91"/>
    <w:rsid w:val="007F6F0B"/>
    <w:rsid w:val="008142C7"/>
    <w:rsid w:val="00821617"/>
    <w:rsid w:val="00822FAD"/>
    <w:rsid w:val="00824DF4"/>
    <w:rsid w:val="0082538E"/>
    <w:rsid w:val="008376E1"/>
    <w:rsid w:val="0084071D"/>
    <w:rsid w:val="00840A05"/>
    <w:rsid w:val="00844A2A"/>
    <w:rsid w:val="008A0D87"/>
    <w:rsid w:val="008A6928"/>
    <w:rsid w:val="008B2EFB"/>
    <w:rsid w:val="008B47B8"/>
    <w:rsid w:val="00901096"/>
    <w:rsid w:val="00914C84"/>
    <w:rsid w:val="00916F8B"/>
    <w:rsid w:val="009523F7"/>
    <w:rsid w:val="00956691"/>
    <w:rsid w:val="00960CFF"/>
    <w:rsid w:val="00963CD6"/>
    <w:rsid w:val="00971999"/>
    <w:rsid w:val="0098457E"/>
    <w:rsid w:val="00985E0C"/>
    <w:rsid w:val="009A6654"/>
    <w:rsid w:val="009A7510"/>
    <w:rsid w:val="009B0CA4"/>
    <w:rsid w:val="009D16E5"/>
    <w:rsid w:val="009D2D91"/>
    <w:rsid w:val="009D608F"/>
    <w:rsid w:val="00A35A11"/>
    <w:rsid w:val="00A36FC2"/>
    <w:rsid w:val="00A518F0"/>
    <w:rsid w:val="00A607FF"/>
    <w:rsid w:val="00A616CA"/>
    <w:rsid w:val="00A7177C"/>
    <w:rsid w:val="00A87EC2"/>
    <w:rsid w:val="00A908F9"/>
    <w:rsid w:val="00AA1E91"/>
    <w:rsid w:val="00AC04E9"/>
    <w:rsid w:val="00AC4EC5"/>
    <w:rsid w:val="00AD341C"/>
    <w:rsid w:val="00AD48ED"/>
    <w:rsid w:val="00AD6A65"/>
    <w:rsid w:val="00AE2C88"/>
    <w:rsid w:val="00AF046B"/>
    <w:rsid w:val="00B02583"/>
    <w:rsid w:val="00B07987"/>
    <w:rsid w:val="00B31AE3"/>
    <w:rsid w:val="00B44D47"/>
    <w:rsid w:val="00B72360"/>
    <w:rsid w:val="00B77E5F"/>
    <w:rsid w:val="00BA0EAF"/>
    <w:rsid w:val="00BA2901"/>
    <w:rsid w:val="00BA71BA"/>
    <w:rsid w:val="00BB1F33"/>
    <w:rsid w:val="00BC74E3"/>
    <w:rsid w:val="00BD386A"/>
    <w:rsid w:val="00BD38AB"/>
    <w:rsid w:val="00BF0749"/>
    <w:rsid w:val="00C17757"/>
    <w:rsid w:val="00C2505E"/>
    <w:rsid w:val="00C266C5"/>
    <w:rsid w:val="00C34E11"/>
    <w:rsid w:val="00C61C38"/>
    <w:rsid w:val="00C7133A"/>
    <w:rsid w:val="00CA536C"/>
    <w:rsid w:val="00CB4BCF"/>
    <w:rsid w:val="00CC2624"/>
    <w:rsid w:val="00CC6FE3"/>
    <w:rsid w:val="00CE5A39"/>
    <w:rsid w:val="00CF52F5"/>
    <w:rsid w:val="00CF55BC"/>
    <w:rsid w:val="00D04888"/>
    <w:rsid w:val="00D0633B"/>
    <w:rsid w:val="00D22197"/>
    <w:rsid w:val="00D305AA"/>
    <w:rsid w:val="00D4475F"/>
    <w:rsid w:val="00D521A2"/>
    <w:rsid w:val="00D55091"/>
    <w:rsid w:val="00D7508A"/>
    <w:rsid w:val="00D87725"/>
    <w:rsid w:val="00DB46A6"/>
    <w:rsid w:val="00DC00DF"/>
    <w:rsid w:val="00DF392C"/>
    <w:rsid w:val="00DF4F64"/>
    <w:rsid w:val="00E0764F"/>
    <w:rsid w:val="00E13521"/>
    <w:rsid w:val="00E334DC"/>
    <w:rsid w:val="00E50CA1"/>
    <w:rsid w:val="00E96E11"/>
    <w:rsid w:val="00EA0607"/>
    <w:rsid w:val="00EB064A"/>
    <w:rsid w:val="00EB4165"/>
    <w:rsid w:val="00EC5073"/>
    <w:rsid w:val="00EF72E0"/>
    <w:rsid w:val="00F20EB9"/>
    <w:rsid w:val="00F44A43"/>
    <w:rsid w:val="00F5458A"/>
    <w:rsid w:val="00F63504"/>
    <w:rsid w:val="00F73FC3"/>
    <w:rsid w:val="00F85AA0"/>
    <w:rsid w:val="00F967B3"/>
    <w:rsid w:val="00FB0420"/>
    <w:rsid w:val="00FB3897"/>
    <w:rsid w:val="00FC0ED7"/>
    <w:rsid w:val="00FC3D6E"/>
    <w:rsid w:val="00FF5682"/>
    <w:rsid w:val="0B32241D"/>
    <w:rsid w:val="0B467F54"/>
    <w:rsid w:val="0CA13D3D"/>
    <w:rsid w:val="107A0A09"/>
    <w:rsid w:val="14894525"/>
    <w:rsid w:val="155840B8"/>
    <w:rsid w:val="1DDC63C8"/>
    <w:rsid w:val="27357E2E"/>
    <w:rsid w:val="276B1AC7"/>
    <w:rsid w:val="279628D1"/>
    <w:rsid w:val="29075C6B"/>
    <w:rsid w:val="2BFE4159"/>
    <w:rsid w:val="2DDF7E4F"/>
    <w:rsid w:val="2E914BCA"/>
    <w:rsid w:val="2FFA49C0"/>
    <w:rsid w:val="32EC0FAF"/>
    <w:rsid w:val="389373F1"/>
    <w:rsid w:val="3944051D"/>
    <w:rsid w:val="3AC23BA1"/>
    <w:rsid w:val="405F16DD"/>
    <w:rsid w:val="447E302E"/>
    <w:rsid w:val="48996839"/>
    <w:rsid w:val="4C1F501D"/>
    <w:rsid w:val="4CF82E68"/>
    <w:rsid w:val="4D3F0E55"/>
    <w:rsid w:val="54EF403D"/>
    <w:rsid w:val="55774595"/>
    <w:rsid w:val="562B3E87"/>
    <w:rsid w:val="56A73C2F"/>
    <w:rsid w:val="5926609A"/>
    <w:rsid w:val="5C886FA8"/>
    <w:rsid w:val="69133769"/>
    <w:rsid w:val="694710E5"/>
    <w:rsid w:val="69E51FD9"/>
    <w:rsid w:val="6A202AD2"/>
    <w:rsid w:val="6C494E84"/>
    <w:rsid w:val="722F1AB0"/>
    <w:rsid w:val="724B6545"/>
    <w:rsid w:val="765B0F29"/>
    <w:rsid w:val="793F56A7"/>
    <w:rsid w:val="793F68A4"/>
    <w:rsid w:val="79CD7E79"/>
    <w:rsid w:val="7A5B1641"/>
    <w:rsid w:val="7CA02EF8"/>
    <w:rsid w:val="7CB83678"/>
    <w:rsid w:val="7E1A2C7B"/>
    <w:rsid w:val="7FBE1209"/>
    <w:rsid w:val="7FF2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200" w:firstLineChars="200"/>
      <w:contextualSpacing/>
      <w:jc w:val="both"/>
    </w:pPr>
    <w:rPr>
      <w:rFonts w:eastAsia="仿宋_GB2312" w:asciiTheme="minorHAnsi" w:hAnsiTheme="minorHAnsi" w:cstheme="minorBidi"/>
      <w:kern w:val="2"/>
      <w:sz w:val="28"/>
      <w:szCs w:val="22"/>
      <w:lang w:val="en-US" w:eastAsia="zh-CN" w:bidi="ar-SA"/>
    </w:rPr>
  </w:style>
  <w:style w:type="paragraph" w:styleId="3">
    <w:name w:val="heading 1"/>
    <w:basedOn w:val="1"/>
    <w:next w:val="1"/>
    <w:link w:val="20"/>
    <w:qFormat/>
    <w:uiPriority w:val="9"/>
    <w:pPr>
      <w:keepNext/>
      <w:keepLines/>
      <w:numPr>
        <w:ilvl w:val="0"/>
        <w:numId w:val="1"/>
      </w:numPr>
      <w:ind w:firstLineChars="0"/>
      <w:outlineLvl w:val="0"/>
    </w:pPr>
    <w:rPr>
      <w:rFonts w:eastAsia="黑体"/>
      <w:bCs/>
      <w:kern w:val="44"/>
      <w:szCs w:val="44"/>
    </w:rPr>
  </w:style>
  <w:style w:type="paragraph" w:styleId="4">
    <w:name w:val="heading 2"/>
    <w:basedOn w:val="1"/>
    <w:next w:val="1"/>
    <w:link w:val="21"/>
    <w:unhideWhenUsed/>
    <w:qFormat/>
    <w:uiPriority w:val="9"/>
    <w:pPr>
      <w:keepNext/>
      <w:keepLines/>
      <w:numPr>
        <w:ilvl w:val="1"/>
        <w:numId w:val="1"/>
      </w:numPr>
      <w:tabs>
        <w:tab w:val="left" w:pos="170"/>
      </w:tabs>
      <w:ind w:firstLineChars="0"/>
      <w:outlineLvl w:val="1"/>
    </w:pPr>
    <w:rPr>
      <w:rFonts w:eastAsia="楷体" w:asciiTheme="majorHAnsi" w:hAnsiTheme="majorHAnsi" w:cstheme="majorBidi"/>
      <w:bCs/>
      <w:szCs w:val="32"/>
    </w:rPr>
  </w:style>
  <w:style w:type="paragraph" w:styleId="5">
    <w:name w:val="heading 3"/>
    <w:basedOn w:val="1"/>
    <w:next w:val="1"/>
    <w:link w:val="23"/>
    <w:unhideWhenUsed/>
    <w:qFormat/>
    <w:uiPriority w:val="9"/>
    <w:pPr>
      <w:keepNext/>
      <w:keepLines/>
      <w:numPr>
        <w:ilvl w:val="2"/>
        <w:numId w:val="1"/>
      </w:numPr>
      <w:tabs>
        <w:tab w:val="left" w:pos="170"/>
      </w:tabs>
      <w:ind w:firstLineChars="0"/>
      <w:outlineLvl w:val="2"/>
    </w:pPr>
    <w:rPr>
      <w:bCs/>
      <w:szCs w:val="32"/>
    </w:rPr>
  </w:style>
  <w:style w:type="paragraph" w:styleId="6">
    <w:name w:val="heading 4"/>
    <w:basedOn w:val="1"/>
    <w:next w:val="1"/>
    <w:link w:val="22"/>
    <w:unhideWhenUsed/>
    <w:qFormat/>
    <w:uiPriority w:val="9"/>
    <w:pPr>
      <w:keepNext/>
      <w:keepLines/>
      <w:numPr>
        <w:ilvl w:val="3"/>
        <w:numId w:val="1"/>
      </w:numPr>
      <w:ind w:firstLineChars="0"/>
      <w:outlineLvl w:val="3"/>
    </w:pPr>
    <w:rPr>
      <w:rFonts w:asciiTheme="majorHAnsi" w:hAnsiTheme="majorHAnsi" w:cstheme="majorBidi"/>
      <w:bCs/>
      <w:szCs w:val="28"/>
    </w:rPr>
  </w:style>
  <w:style w:type="paragraph" w:styleId="7">
    <w:name w:val="heading 5"/>
    <w:basedOn w:val="1"/>
    <w:next w:val="1"/>
    <w:link w:val="24"/>
    <w:unhideWhenUsed/>
    <w:qFormat/>
    <w:uiPriority w:val="9"/>
    <w:pPr>
      <w:keepNext/>
      <w:keepLines/>
      <w:numPr>
        <w:ilvl w:val="4"/>
        <w:numId w:val="1"/>
      </w:numPr>
      <w:ind w:firstLineChars="0"/>
      <w:outlineLvl w:val="4"/>
    </w:pPr>
    <w:rPr>
      <w:bCs/>
      <w:szCs w:val="28"/>
    </w:rPr>
  </w:style>
  <w:style w:type="paragraph" w:styleId="8">
    <w:name w:val="heading 6"/>
    <w:basedOn w:val="1"/>
    <w:next w:val="1"/>
    <w:link w:val="25"/>
    <w:semiHidden/>
    <w:unhideWhenUsed/>
    <w:qFormat/>
    <w:uiPriority w:val="9"/>
    <w:pPr>
      <w:keepNext/>
      <w:keepLines/>
      <w:numPr>
        <w:ilvl w:val="5"/>
        <w:numId w:val="1"/>
      </w:numPr>
      <w:ind w:firstLineChars="0"/>
      <w:outlineLvl w:val="5"/>
    </w:pPr>
    <w:rPr>
      <w:rFonts w:asciiTheme="majorHAnsi" w:hAnsiTheme="majorHAnsi" w:cstheme="majorBidi"/>
      <w:bCs/>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0"/>
    <w:rPr>
      <w:rFonts w:ascii="宋体" w:hAnsi="Courier New"/>
      <w:kern w:val="0"/>
      <w:sz w:val="20"/>
      <w:szCs w:val="21"/>
    </w:rPr>
  </w:style>
  <w:style w:type="paragraph" w:styleId="9">
    <w:name w:val="toc 5"/>
    <w:basedOn w:val="1"/>
    <w:next w:val="1"/>
    <w:semiHidden/>
    <w:unhideWhenUsed/>
    <w:qFormat/>
    <w:uiPriority w:val="39"/>
    <w:pPr>
      <w:spacing w:line="360" w:lineRule="exact"/>
      <w:ind w:left="400" w:leftChars="400" w:firstLine="0" w:firstLineChars="0"/>
      <w:jc w:val="left"/>
    </w:pPr>
    <w:rPr>
      <w:sz w:val="24"/>
    </w:rPr>
  </w:style>
  <w:style w:type="paragraph" w:styleId="10">
    <w:name w:val="toc 3"/>
    <w:basedOn w:val="1"/>
    <w:next w:val="1"/>
    <w:semiHidden/>
    <w:unhideWhenUsed/>
    <w:qFormat/>
    <w:uiPriority w:val="39"/>
    <w:pPr>
      <w:spacing w:line="360" w:lineRule="exact"/>
      <w:ind w:left="200" w:leftChars="200" w:firstLine="0" w:firstLineChars="0"/>
      <w:jc w:val="left"/>
    </w:pPr>
    <w:rPr>
      <w:sz w:val="24"/>
    </w:rPr>
  </w:style>
  <w:style w:type="paragraph" w:styleId="11">
    <w:name w:val="footer"/>
    <w:basedOn w:val="1"/>
    <w:link w:val="27"/>
    <w:unhideWhenUsed/>
    <w:qFormat/>
    <w:uiPriority w:val="99"/>
    <w:pPr>
      <w:tabs>
        <w:tab w:val="center" w:pos="4153"/>
        <w:tab w:val="right" w:pos="8306"/>
      </w:tabs>
      <w:snapToGrid w:val="0"/>
      <w:spacing w:line="240" w:lineRule="atLeast"/>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3">
    <w:name w:val="toc 1"/>
    <w:basedOn w:val="1"/>
    <w:next w:val="1"/>
    <w:semiHidden/>
    <w:unhideWhenUsed/>
    <w:qFormat/>
    <w:uiPriority w:val="39"/>
    <w:pPr>
      <w:spacing w:line="360" w:lineRule="exact"/>
      <w:ind w:firstLine="0" w:firstLineChars="0"/>
      <w:jc w:val="left"/>
    </w:pPr>
  </w:style>
  <w:style w:type="paragraph" w:styleId="14">
    <w:name w:val="toc 4"/>
    <w:basedOn w:val="1"/>
    <w:next w:val="1"/>
    <w:semiHidden/>
    <w:unhideWhenUsed/>
    <w:qFormat/>
    <w:uiPriority w:val="39"/>
    <w:pPr>
      <w:spacing w:line="360" w:lineRule="exact"/>
      <w:ind w:left="300" w:leftChars="300" w:firstLine="50" w:firstLineChars="50"/>
      <w:jc w:val="left"/>
    </w:pPr>
    <w:rPr>
      <w:sz w:val="24"/>
    </w:rPr>
  </w:style>
  <w:style w:type="paragraph" w:styleId="15">
    <w:name w:val="toc 6"/>
    <w:basedOn w:val="1"/>
    <w:next w:val="1"/>
    <w:semiHidden/>
    <w:unhideWhenUsed/>
    <w:qFormat/>
    <w:uiPriority w:val="39"/>
    <w:pPr>
      <w:spacing w:line="360" w:lineRule="exact"/>
      <w:ind w:left="500" w:leftChars="500" w:firstLine="0" w:firstLineChars="0"/>
      <w:jc w:val="left"/>
    </w:pPr>
    <w:rPr>
      <w:sz w:val="24"/>
    </w:rPr>
  </w:style>
  <w:style w:type="paragraph" w:styleId="16">
    <w:name w:val="toc 2"/>
    <w:basedOn w:val="1"/>
    <w:next w:val="1"/>
    <w:semiHidden/>
    <w:unhideWhenUsed/>
    <w:qFormat/>
    <w:uiPriority w:val="39"/>
    <w:pPr>
      <w:spacing w:line="360" w:lineRule="exact"/>
      <w:ind w:left="100" w:leftChars="100" w:firstLine="0" w:firstLineChars="0"/>
      <w:jc w:val="left"/>
    </w:pPr>
    <w:rPr>
      <w:sz w:val="24"/>
    </w:rPr>
  </w:style>
  <w:style w:type="paragraph" w:customStyle="1" w:styleId="19">
    <w:name w:val="Default"/>
    <w:qFormat/>
    <w:uiPriority w:val="0"/>
    <w:pPr>
      <w:widowControl w:val="0"/>
      <w:spacing w:line="360" w:lineRule="atLeast"/>
      <w:jc w:val="both"/>
    </w:pPr>
    <w:rPr>
      <w:rFonts w:ascii="宋体" w:hAnsi="宋体" w:eastAsia="宋体" w:cs="宋体"/>
      <w:color w:val="000000"/>
      <w:lang w:val="en-US" w:eastAsia="zh-CN" w:bidi="ar-SA"/>
    </w:rPr>
  </w:style>
  <w:style w:type="character" w:customStyle="1" w:styleId="20">
    <w:name w:val="标题 1 字符"/>
    <w:basedOn w:val="18"/>
    <w:link w:val="3"/>
    <w:qFormat/>
    <w:uiPriority w:val="9"/>
    <w:rPr>
      <w:rFonts w:eastAsia="黑体"/>
      <w:bCs/>
      <w:kern w:val="44"/>
      <w:sz w:val="28"/>
      <w:szCs w:val="44"/>
    </w:rPr>
  </w:style>
  <w:style w:type="character" w:customStyle="1" w:styleId="21">
    <w:name w:val="标题 2 字符"/>
    <w:basedOn w:val="18"/>
    <w:link w:val="4"/>
    <w:qFormat/>
    <w:uiPriority w:val="9"/>
    <w:rPr>
      <w:rFonts w:eastAsia="楷体" w:asciiTheme="majorHAnsi" w:hAnsiTheme="majorHAnsi" w:cstheme="majorBidi"/>
      <w:bCs/>
      <w:sz w:val="28"/>
      <w:szCs w:val="32"/>
    </w:rPr>
  </w:style>
  <w:style w:type="character" w:customStyle="1" w:styleId="22">
    <w:name w:val="标题 4 字符"/>
    <w:basedOn w:val="18"/>
    <w:link w:val="6"/>
    <w:qFormat/>
    <w:uiPriority w:val="9"/>
    <w:rPr>
      <w:rFonts w:eastAsia="仿宋_GB2312" w:asciiTheme="majorHAnsi" w:hAnsiTheme="majorHAnsi" w:cstheme="majorBidi"/>
      <w:bCs/>
      <w:sz w:val="28"/>
      <w:szCs w:val="28"/>
    </w:rPr>
  </w:style>
  <w:style w:type="character" w:customStyle="1" w:styleId="23">
    <w:name w:val="标题 3 字符"/>
    <w:basedOn w:val="18"/>
    <w:link w:val="5"/>
    <w:qFormat/>
    <w:uiPriority w:val="9"/>
    <w:rPr>
      <w:rFonts w:eastAsia="仿宋_GB2312"/>
      <w:bCs/>
      <w:sz w:val="28"/>
      <w:szCs w:val="32"/>
    </w:rPr>
  </w:style>
  <w:style w:type="character" w:customStyle="1" w:styleId="24">
    <w:name w:val="标题 5 字符"/>
    <w:basedOn w:val="18"/>
    <w:link w:val="7"/>
    <w:qFormat/>
    <w:uiPriority w:val="9"/>
    <w:rPr>
      <w:rFonts w:eastAsia="仿宋_GB2312"/>
      <w:bCs/>
      <w:sz w:val="28"/>
      <w:szCs w:val="28"/>
    </w:rPr>
  </w:style>
  <w:style w:type="character" w:customStyle="1" w:styleId="25">
    <w:name w:val="标题 6 字符"/>
    <w:basedOn w:val="18"/>
    <w:link w:val="8"/>
    <w:semiHidden/>
    <w:qFormat/>
    <w:uiPriority w:val="9"/>
    <w:rPr>
      <w:rFonts w:eastAsia="仿宋_GB2312" w:asciiTheme="majorHAnsi" w:hAnsiTheme="majorHAnsi" w:cstheme="majorBidi"/>
      <w:bCs/>
      <w:sz w:val="28"/>
      <w:szCs w:val="24"/>
    </w:rPr>
  </w:style>
  <w:style w:type="character" w:customStyle="1" w:styleId="26">
    <w:name w:val="页眉 字符"/>
    <w:basedOn w:val="18"/>
    <w:link w:val="12"/>
    <w:qFormat/>
    <w:uiPriority w:val="99"/>
    <w:rPr>
      <w:rFonts w:eastAsia="仿宋_GB2312"/>
      <w:sz w:val="18"/>
      <w:szCs w:val="18"/>
    </w:rPr>
  </w:style>
  <w:style w:type="character" w:customStyle="1" w:styleId="27">
    <w:name w:val="页脚 字符"/>
    <w:basedOn w:val="18"/>
    <w:link w:val="11"/>
    <w:qFormat/>
    <w:uiPriority w:val="99"/>
    <w:rPr>
      <w:rFonts w:eastAsia="仿宋_GB2312"/>
      <w:sz w:val="18"/>
      <w:szCs w:val="18"/>
    </w:rPr>
  </w:style>
  <w:style w:type="paragraph" w:styleId="28">
    <w:name w:val="List Paragraph"/>
    <w:basedOn w:val="1"/>
    <w:qFormat/>
    <w:uiPriority w:val="34"/>
    <w:pPr>
      <w:spacing w:line="240" w:lineRule="auto"/>
      <w:ind w:firstLine="420"/>
      <w:contextualSpacing w:val="0"/>
    </w:pPr>
    <w:rPr>
      <w:rFonts w:eastAsiaTheme="minorEastAsia"/>
      <w:sz w:val="21"/>
    </w:rPr>
  </w:style>
  <w:style w:type="paragraph" w:customStyle="1" w:styleId="29">
    <w:name w:val="样式 首行缩进:  0.74 厘米"/>
    <w:basedOn w:val="1"/>
    <w:qFormat/>
    <w:uiPriority w:val="0"/>
    <w:pPr>
      <w:spacing w:line="360" w:lineRule="auto"/>
      <w:ind w:firstLine="420" w:firstLineChars="0"/>
      <w:contextualSpacing w:val="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882</Words>
  <Characters>5031</Characters>
  <Lines>41</Lines>
  <Paragraphs>11</Paragraphs>
  <TotalTime>122</TotalTime>
  <ScaleCrop>false</ScaleCrop>
  <LinksUpToDate>false</LinksUpToDate>
  <CharactersWithSpaces>5902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2020-08-05T03:21:00Z</dcterms:created>
  <dc:creator>X 淼</dc:creator>
  <cp:lastModifiedBy>陈昊昱</cp:lastModifiedBy>
  <dcterms:modified xsi:type="dcterms:W3CDTF">2023-08-28T07:17:10Z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26F867B835E64279BDA8F4E4A5C7BBA5</vt:lpwstr>
  </property>
</Properties>
</file>