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hint="default"/>
          <w:lang w:val="en-US" w:eastAsia="zh-CN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昆明医科大学第二附属医院关于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7号楼二层A区生殖医学科装修项目建设工程造价咨询服务项目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竞争性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磋商评分说明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一、商务部分（满分30分）</w:t>
      </w:r>
    </w:p>
    <w:tbl>
      <w:tblPr>
        <w:tblStyle w:val="4"/>
        <w:tblW w:w="55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7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57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53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pct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人员配备（每项目现场负责人至少需持有二级造价工程师注册证书）、组织机构和综合实力。（10分）</w:t>
            </w:r>
          </w:p>
        </w:tc>
        <w:tc>
          <w:tcPr>
            <w:tcW w:w="3557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第一个档次（8-10分）：项目组组织机构和人员设置合理、针对性强、主要技术人员具有相应的资格证书，人员经验足能力强等。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第二个档次（4-7分）：项目组组织机构和人员设置基本合理、有一定针对性、主要技术人员相应的资格证书不全，人员经验足能力一般等。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第三个档次（1-3分）：项目组组织机构和人员设置合理、人员配备不齐全、主要技术人员相应的资格证书不全，人员经验足能力不足等。</w:t>
            </w:r>
          </w:p>
        </w:tc>
        <w:tc>
          <w:tcPr>
            <w:tcW w:w="453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8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同类业绩（</w:t>
            </w:r>
            <w:r>
              <w:rPr>
                <w:rFonts w:hint="eastAsia"/>
                <w:vertAlign w:val="baseline"/>
                <w:lang w:val="en-US" w:eastAsia="zh-CN"/>
              </w:rPr>
              <w:t>5分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第一个档次（5分）：类似项目业绩优秀，附有相关证明资料。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第二个档次（3-4分）：类似项目业绩良好，附有相关证明资料。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第三个档次（1-2分）：类似项目业绩一般，附有相关证明资料。</w:t>
            </w:r>
          </w:p>
        </w:tc>
        <w:tc>
          <w:tcPr>
            <w:tcW w:w="453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88" w:type="pc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项目实施方案（</w:t>
            </w:r>
            <w:r>
              <w:rPr>
                <w:rFonts w:hint="eastAsia"/>
                <w:vertAlign w:val="baseline"/>
                <w:lang w:val="en-US" w:eastAsia="zh-CN"/>
              </w:rPr>
              <w:t>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第一个档次（8-10分）：项目实施方案优秀，有具体违约责任承诺等。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第二个档次（4-7分）：项目实施方案良好，有具体违约责任承诺等。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第三个档次（1-3分）：项目实施方案满足基本要求。</w:t>
            </w:r>
          </w:p>
        </w:tc>
        <w:tc>
          <w:tcPr>
            <w:tcW w:w="453" w:type="pc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88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服务能力、承诺和保证（</w:t>
            </w:r>
            <w:r>
              <w:rPr>
                <w:rFonts w:hint="eastAsia"/>
                <w:vertAlign w:val="baseline"/>
                <w:lang w:val="en-US" w:eastAsia="zh-CN"/>
              </w:rPr>
              <w:t>5分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57" w:type="pc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第一个档次（5分）：服务方案、质量承诺及保证完善具体，针对性强，有相应的惩罚措施。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第二个档次（3-4分）：服务方案、质量承诺及保证可行，有一定的针对性 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第三个档次（1-2分）：服务方案、质量 承诺及保证基本可行，缺乏针对性。</w:t>
            </w:r>
          </w:p>
        </w:tc>
        <w:tc>
          <w:tcPr>
            <w:tcW w:w="453" w:type="pc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技术部分（满分40分）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1"/>
        <w:gridCol w:w="93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200" w:hRule="atLeast"/>
        </w:trPr>
        <w:tc>
          <w:tcPr>
            <w:tcW w:w="98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对项目的理解和认识（10分）</w:t>
            </w:r>
          </w:p>
        </w:tc>
        <w:tc>
          <w:tcPr>
            <w:tcW w:w="3517" w:type="pc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第一个档次（8-10分）：对本项目理解全面又透彻，总体思路满足工程需要，针对性强。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第二个档次（4-7分）：对本项目理解全面，总体思路基本满足工程需要，但缺乏针对性。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第三个档次（1-3分）：对本项目理解和认识存在一定偏差，针对性不足。</w:t>
            </w:r>
          </w:p>
        </w:tc>
        <w:tc>
          <w:tcPr>
            <w:tcW w:w="497" w:type="pct"/>
            <w:gridSpan w:val="2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98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进度和计划方案（</w:t>
            </w:r>
            <w:r>
              <w:rPr>
                <w:rFonts w:hint="eastAsia"/>
                <w:vertAlign w:val="baseline"/>
                <w:lang w:val="en-US" w:eastAsia="zh-CN"/>
              </w:rPr>
              <w:t>20分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第一个档次（14-20分）：方案合理、配合好、保证措施合理、能良好指导医院控制工程造价，管控有效。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第二个档次（8-13分）：方案合理、配合好、保证措施基本合理、能指导医院控制工程造价，有一定效果。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第三个档次（1-7分）：技术方案、保证措施符合要求。</w:t>
            </w:r>
          </w:p>
        </w:tc>
        <w:tc>
          <w:tcPr>
            <w:tcW w:w="497" w:type="pct"/>
            <w:gridSpan w:val="2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984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质量控制与保证措施（</w:t>
            </w:r>
            <w:r>
              <w:rPr>
                <w:rFonts w:hint="eastAsia"/>
                <w:vertAlign w:val="baseline"/>
                <w:lang w:val="en-US" w:eastAsia="zh-CN"/>
              </w:rPr>
              <w:t>10分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3517" w:type="pct"/>
            <w:vAlign w:val="top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第一个档次（8-10分）：质量保证措施全面可靠，错误补救措施可行，可操作性强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第二个档次（4-7分）：质量保证措施全面，错漏补救措施良好，有一定的可操作性。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第三个档次（1-3分）：质量保证措施一般，有错漏补救措施，可操作性一般。</w:t>
            </w:r>
          </w:p>
        </w:tc>
        <w:tc>
          <w:tcPr>
            <w:tcW w:w="497" w:type="pct"/>
            <w:gridSpan w:val="2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三、报价部分（满分 30分）</w:t>
      </w:r>
    </w:p>
    <w:tbl>
      <w:tblPr>
        <w:tblStyle w:val="4"/>
        <w:tblW w:w="55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621"/>
        <w:gridCol w:w="1"/>
        <w:gridCol w:w="93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pct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评分内容</w:t>
            </w:r>
          </w:p>
        </w:tc>
        <w:tc>
          <w:tcPr>
            <w:tcW w:w="3517" w:type="pct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497" w:type="pct"/>
            <w:gridSpan w:val="2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984" w:type="pc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（评标基准价/投标报价）*30</w:t>
            </w:r>
          </w:p>
        </w:tc>
        <w:tc>
          <w:tcPr>
            <w:tcW w:w="3517" w:type="pct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报价最低的供应商的价格为磋商基准价，其价格分为满分。其他供应商的价格为磋商报价得分=（磋商基准价/最后磋商报价）×价格权值×100</w:t>
            </w:r>
          </w:p>
        </w:tc>
        <w:tc>
          <w:tcPr>
            <w:tcW w:w="497" w:type="pct"/>
            <w:gridSpan w:val="2"/>
            <w:vAlign w:val="top"/>
          </w:tcPr>
          <w:p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</w:t>
            </w:r>
          </w:p>
        </w:tc>
      </w:tr>
    </w:tbl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昆明医科大学第二附属医院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2023年7月10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ADD352"/>
    <w:multiLevelType w:val="singleLevel"/>
    <w:tmpl w:val="15ADD3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TM0ZjA3YjM3MmE1ZjY3ZDliMTIzNGUxN2UwM2MifQ=="/>
  </w:docVars>
  <w:rsids>
    <w:rsidRoot w:val="00000000"/>
    <w:rsid w:val="143863BD"/>
    <w:rsid w:val="15107EA2"/>
    <w:rsid w:val="1594758C"/>
    <w:rsid w:val="1DCC366C"/>
    <w:rsid w:val="28162C6D"/>
    <w:rsid w:val="2FB878DE"/>
    <w:rsid w:val="36F575F9"/>
    <w:rsid w:val="3FFD643E"/>
    <w:rsid w:val="55175833"/>
    <w:rsid w:val="60DC5EC1"/>
    <w:rsid w:val="616C17AD"/>
    <w:rsid w:val="6EC16364"/>
    <w:rsid w:val="78593A36"/>
    <w:rsid w:val="7B8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1104</Words>
  <Characters>1171</Characters>
  <Lines>0</Lines>
  <Paragraphs>0</Paragraphs>
  <TotalTime>4</TotalTime>
  <ScaleCrop>false</ScaleCrop>
  <LinksUpToDate>false</LinksUpToDate>
  <CharactersWithSpaces>1250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2021-06-28T09:20:00Z</dcterms:created>
  <dc:creator>win7</dc:creator>
  <cp:lastModifiedBy>cgz</cp:lastModifiedBy>
  <cp:lastPrinted>2023-07-03T01:12:00Z</cp:lastPrinted>
  <dcterms:modified xsi:type="dcterms:W3CDTF">2023-07-10T03:23:41Z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B2676243A64D444F9BA873B9101CE0C9</vt:lpwstr>
  </property>
</Properties>
</file>