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auto"/>
          <w:lang w:val="en-US" w:eastAsia="zh-CN"/>
        </w:rPr>
        <w:t>处方打印机技术要求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打印方式：热敏/热转印；打印头寿命：≥150KM；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★打印宽度：≥106mm。打印速度：≥150mm/s，分辨率：≥300dpi。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打印命令：ZPL、EPL、ESC/POS指令/切刀寿命：100万次/字符：汉字 GB18030大字库、 24*24 点阵。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条形码：支持一维码，二维码识别；大容量透明可视纸仓；可移动式传感器。采用国产自主SOC控制芯片，能有效保障信息安全，有效防止泄密，需提供国家知识产权局证书证明；进纸宽度：≥118mm。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打印厚度：0.06~0.18mm，纸卷直径：外径203mm 内径：38~76mm。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★标配撕纸机构，可以实现上下撕纸功能，操作更加便捷、高效。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★碳带规格：长度：≥300m。外径：68mm；内径：25.4mm 。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★标配碳带双拨轮传动机构，热敏头结构定位精准设计，实现纸张检测、标签检测、黑标检测、机构检测、碳带检测等功能。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接口：标配：USB接口、选配：并口、串口、以太网口、无线wifi、蓝牙/内存：SDRAM：≥8M/;自动切纸刀、剥离器，★为保证所提供产品是原厂正品，需提供原厂售后服务。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F87234"/>
    <w:multiLevelType w:val="singleLevel"/>
    <w:tmpl w:val="1BF872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35546"/>
    <w:rsid w:val="07F35546"/>
    <w:rsid w:val="13396F80"/>
    <w:rsid w:val="192F3615"/>
    <w:rsid w:val="1A087960"/>
    <w:rsid w:val="3DA91811"/>
    <w:rsid w:val="4B7E1671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2023-03-14T07:57:00Z</dcterms:created>
  <dc:creator>cgz</dc:creator>
  <cp:lastModifiedBy>cgz</cp:lastModifiedBy>
  <dcterms:modified xsi:type="dcterms:W3CDTF">2023-03-14T08:04:14Z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7A0E7D3188B84AF0AF11FAED6218DDC8</vt:lpwstr>
  </property>
</Properties>
</file>